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6B93B528" w:rsidR="00AB16D3" w:rsidRPr="008D2088" w:rsidRDefault="00AB16D3" w:rsidP="00AB16D3">
      <w:pPr>
        <w:pStyle w:val="Header"/>
        <w:rPr>
          <w:bCs/>
          <w:noProof w:val="0"/>
          <w:sz w:val="24"/>
          <w:lang w:val="en-GB"/>
        </w:rPr>
      </w:pPr>
      <w:r w:rsidRPr="008D2088">
        <w:rPr>
          <w:bCs/>
          <w:noProof w:val="0"/>
          <w:sz w:val="24"/>
          <w:lang w:val="en-GB"/>
        </w:rPr>
        <w:t>3GPP TSG RAN WG1</w:t>
      </w:r>
      <w:r w:rsidR="00CC65F0">
        <w:rPr>
          <w:bCs/>
          <w:noProof w:val="0"/>
          <w:sz w:val="24"/>
          <w:lang w:val="en-GB"/>
        </w:rPr>
        <w:t xml:space="preserve"> NR Ad-Hoc #2</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8D2088">
        <w:rPr>
          <w:bCs/>
          <w:noProof w:val="0"/>
          <w:sz w:val="24"/>
          <w:lang w:val="en-GB"/>
        </w:rPr>
        <w:t>R1-17</w:t>
      </w:r>
      <w:r w:rsidR="0050442D">
        <w:rPr>
          <w:bCs/>
          <w:noProof w:val="0"/>
          <w:sz w:val="24"/>
          <w:lang w:val="en-GB"/>
        </w:rPr>
        <w:t>10999</w:t>
      </w:r>
    </w:p>
    <w:p w14:paraId="04ED3E0C" w14:textId="7A36F7F5" w:rsidR="002F115E" w:rsidRPr="00461210" w:rsidRDefault="00CC65F0" w:rsidP="002F115E">
      <w:pPr>
        <w:pStyle w:val="Header"/>
        <w:tabs>
          <w:tab w:val="right" w:pos="9639"/>
        </w:tabs>
        <w:rPr>
          <w:bCs/>
          <w:noProof w:val="0"/>
          <w:sz w:val="24"/>
          <w:lang w:val="en-GB"/>
        </w:rPr>
      </w:pPr>
      <w:r>
        <w:rPr>
          <w:noProof w:val="0"/>
          <w:sz w:val="24"/>
          <w:lang w:val="en-GB"/>
        </w:rPr>
        <w:t>Qingdao</w:t>
      </w:r>
      <w:r w:rsidR="002F115E">
        <w:rPr>
          <w:noProof w:val="0"/>
          <w:sz w:val="24"/>
          <w:lang w:val="en-GB"/>
        </w:rPr>
        <w:t xml:space="preserve">, P.R. China, </w:t>
      </w:r>
      <w:r>
        <w:rPr>
          <w:noProof w:val="0"/>
          <w:sz w:val="24"/>
          <w:lang w:val="en-GB"/>
        </w:rPr>
        <w:t>27</w:t>
      </w:r>
      <w:r w:rsidR="002F115E" w:rsidRPr="00FF159C">
        <w:rPr>
          <w:noProof w:val="0"/>
          <w:sz w:val="24"/>
          <w:vertAlign w:val="superscript"/>
          <w:lang w:val="en-GB"/>
        </w:rPr>
        <w:t>th</w:t>
      </w:r>
      <w:r w:rsidR="002F115E">
        <w:rPr>
          <w:noProof w:val="0"/>
          <w:sz w:val="24"/>
          <w:lang w:val="en-GB"/>
        </w:rPr>
        <w:t>-</w:t>
      </w:r>
      <w:r>
        <w:rPr>
          <w:noProof w:val="0"/>
          <w:sz w:val="24"/>
          <w:lang w:val="en-GB"/>
        </w:rPr>
        <w:t>30</w:t>
      </w:r>
      <w:r w:rsidR="002F115E" w:rsidRPr="00FF159C">
        <w:rPr>
          <w:noProof w:val="0"/>
          <w:sz w:val="24"/>
          <w:vertAlign w:val="superscript"/>
          <w:lang w:val="en-GB"/>
        </w:rPr>
        <w:t>th</w:t>
      </w:r>
      <w:r w:rsidR="002F115E">
        <w:rPr>
          <w:noProof w:val="0"/>
          <w:sz w:val="24"/>
          <w:lang w:val="en-GB"/>
        </w:rPr>
        <w:t xml:space="preserve"> </w:t>
      </w:r>
      <w:r>
        <w:rPr>
          <w:noProof w:val="0"/>
          <w:sz w:val="24"/>
          <w:lang w:val="en-GB"/>
        </w:rPr>
        <w:t>June</w:t>
      </w:r>
      <w:r w:rsidR="002F115E">
        <w:rPr>
          <w:bCs/>
          <w:sz w:val="24"/>
        </w:rPr>
        <w:t xml:space="preserve"> </w:t>
      </w:r>
      <w:r w:rsidR="002F115E" w:rsidRPr="00235B77">
        <w:rPr>
          <w:bCs/>
          <w:sz w:val="24"/>
        </w:rPr>
        <w:t>201</w:t>
      </w:r>
      <w:r w:rsidR="002F115E">
        <w:rPr>
          <w:bCs/>
          <w:sz w:val="24"/>
        </w:rPr>
        <w:t>7</w:t>
      </w:r>
    </w:p>
    <w:p w14:paraId="48E1CB0D" w14:textId="77777777" w:rsidR="00CA26CE" w:rsidRPr="0016316A" w:rsidRDefault="00CA26CE" w:rsidP="00CA26CE">
      <w:pPr>
        <w:pStyle w:val="Header"/>
        <w:rPr>
          <w:bCs/>
          <w:noProof w:val="0"/>
          <w:sz w:val="24"/>
          <w:lang w:val="en-GB" w:eastAsia="ja-JP"/>
        </w:rPr>
      </w:pPr>
    </w:p>
    <w:p w14:paraId="48E1CB0E" w14:textId="2DD463F8"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C65F0">
        <w:rPr>
          <w:rFonts w:cs="Arial"/>
          <w:b/>
          <w:bCs/>
          <w:sz w:val="24"/>
        </w:rPr>
        <w:t>5</w:t>
      </w:r>
      <w:r w:rsidR="00625A4E">
        <w:rPr>
          <w:rFonts w:cs="Arial"/>
          <w:b/>
          <w:bCs/>
          <w:sz w:val="24"/>
        </w:rPr>
        <w:t>.1.3.3.</w:t>
      </w:r>
      <w:r w:rsidR="00CC65F0">
        <w:rPr>
          <w:rFonts w:cs="Arial"/>
          <w:b/>
          <w:bCs/>
          <w:sz w:val="24"/>
        </w:rPr>
        <w:t>5.2</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0E75EBB9" w:rsidR="0034111C" w:rsidRPr="0016316A" w:rsidRDefault="0034111C" w:rsidP="000B0B00">
      <w:pPr>
        <w:spacing w:after="120"/>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E428E5">
        <w:rPr>
          <w:rFonts w:ascii="Arial" w:hAnsi="Arial" w:cs="Arial"/>
          <w:b/>
          <w:bCs/>
          <w:sz w:val="24"/>
        </w:rPr>
        <w:t>On HARQ feedback determination</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4C01BC38" w:rsidR="0034111C" w:rsidRPr="0016316A" w:rsidRDefault="0034111C" w:rsidP="00CF0B1C">
      <w:pPr>
        <w:pStyle w:val="Heading1"/>
        <w:ind w:left="0" w:firstLine="0"/>
      </w:pPr>
      <w:r w:rsidRPr="0016316A">
        <w:t>1</w:t>
      </w:r>
      <w:r w:rsidR="00CF0B1C">
        <w:t>.</w:t>
      </w:r>
      <w:r w:rsidRPr="0016316A">
        <w:tab/>
      </w:r>
      <w:r w:rsidR="00EE7FA7" w:rsidRPr="0016316A">
        <w:t>Introduction</w:t>
      </w:r>
    </w:p>
    <w:p w14:paraId="0A859886" w14:textId="77777777" w:rsidR="006C0F68" w:rsidRDefault="006C0F68" w:rsidP="001200A9">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p>
    <w:p w14:paraId="0D222408" w14:textId="21150C5C" w:rsidR="0098380F" w:rsidRPr="000C6EE7" w:rsidRDefault="006C0F68">
      <w:pPr>
        <w:spacing w:after="120"/>
        <w:jc w:val="both"/>
        <w:rPr>
          <w:bCs/>
        </w:rPr>
      </w:pPr>
      <w:r>
        <w:rPr>
          <w:rFonts w:eastAsia="Malgun Gothic"/>
        </w:rPr>
        <w:t>During NR SI</w:t>
      </w:r>
      <w:r w:rsidR="0098380F">
        <w:rPr>
          <w:rFonts w:eastAsia="Malgun Gothic"/>
        </w:rPr>
        <w:t>, following agreements related to the timing of HARQ feedback</w:t>
      </w:r>
      <w:r w:rsidR="002F115E">
        <w:rPr>
          <w:rFonts w:eastAsia="Malgun Gothic"/>
        </w:rPr>
        <w:t xml:space="preserve"> and HARQ feedback content</w:t>
      </w:r>
      <w:r w:rsidR="0098380F">
        <w:rPr>
          <w:rFonts w:eastAsia="Malgun Gothic"/>
        </w:rPr>
        <w:t xml:space="preserve"> were </w:t>
      </w:r>
      <w:r w:rsidR="0098380F">
        <w:rPr>
          <w:bCs/>
        </w:rPr>
        <w:t>made [3]</w:t>
      </w:r>
      <w:r w:rsidR="00AC4B65">
        <w:rPr>
          <w:bCs/>
        </w:rPr>
        <w:t xml:space="preserve"> - [</w:t>
      </w:r>
      <w:r w:rsidR="002F115E">
        <w:rPr>
          <w:bCs/>
        </w:rPr>
        <w:t>6</w:t>
      </w:r>
      <w:r w:rsidR="002B7E43">
        <w:rPr>
          <w:bCs/>
        </w:rPr>
        <w:t>]</w:t>
      </w:r>
      <w:r w:rsidR="0098380F">
        <w:rPr>
          <w:rFonts w:eastAsia="Malgun Gothic"/>
        </w:rPr>
        <w:t>:</w:t>
      </w:r>
    </w:p>
    <w:p w14:paraId="71CD03D2" w14:textId="77777777" w:rsidR="0098380F" w:rsidRPr="000C6EE7" w:rsidRDefault="0098380F" w:rsidP="008C07FF">
      <w:pPr>
        <w:spacing w:after="60"/>
        <w:rPr>
          <w:rFonts w:eastAsia="MS Mincho"/>
          <w:b/>
          <w:u w:val="single"/>
          <w:lang w:val="en-US" w:eastAsia="ja-JP"/>
        </w:rPr>
      </w:pPr>
      <w:r w:rsidRPr="000C6EE7">
        <w:rPr>
          <w:rFonts w:eastAsia="MS Mincho"/>
          <w:b/>
          <w:highlight w:val="green"/>
          <w:u w:val="single"/>
          <w:lang w:val="en-US" w:eastAsia="ja-JP"/>
        </w:rPr>
        <w:t>Agreements:</w:t>
      </w:r>
    </w:p>
    <w:p w14:paraId="611882FA" w14:textId="77777777" w:rsidR="0098380F" w:rsidRPr="000C6EE7" w:rsidRDefault="0098380F" w:rsidP="001200A9">
      <w:pPr>
        <w:numPr>
          <w:ilvl w:val="0"/>
          <w:numId w:val="9"/>
        </w:numPr>
        <w:overflowPunct/>
        <w:autoSpaceDE/>
        <w:autoSpaceDN/>
        <w:adjustRightInd/>
        <w:spacing w:after="0"/>
        <w:ind w:left="714" w:hanging="357"/>
        <w:textAlignment w:val="auto"/>
        <w:rPr>
          <w:rFonts w:eastAsia="MS Mincho"/>
          <w:i/>
          <w:lang w:val="en-US" w:eastAsia="ja-JP"/>
        </w:rPr>
      </w:pPr>
      <w:r w:rsidRPr="000C6EE7">
        <w:rPr>
          <w:rFonts w:eastAsia="MS Mincho"/>
          <w:i/>
          <w:lang w:val="en-US" w:eastAsia="ja-JP"/>
        </w:rPr>
        <w:t>Timing relationship between DL data reception and corresponding acknowledgement can be (one or more of, FFS which ones)</w:t>
      </w:r>
    </w:p>
    <w:p w14:paraId="04659C0C" w14:textId="77777777" w:rsidR="0098380F" w:rsidRPr="000C6EE7" w:rsidRDefault="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dynamically indicated by L1 signaling (e.g., DCI)</w:t>
      </w:r>
    </w:p>
    <w:p w14:paraId="49202910"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semi-statically indicated to a UE via higher layer</w:t>
      </w:r>
    </w:p>
    <w:p w14:paraId="71D42732"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a combination of indication by higher layers and dynamic L1 signaling (e.g., DCI)</w:t>
      </w:r>
    </w:p>
    <w:p w14:paraId="72F0A7F1" w14:textId="77777777" w:rsidR="0098380F" w:rsidRPr="000C6EE7" w:rsidRDefault="0098380F" w:rsidP="0098380F">
      <w:pPr>
        <w:numPr>
          <w:ilvl w:val="0"/>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FFS: minimum interval between DL data reception and corresponding acknowledgement</w:t>
      </w:r>
    </w:p>
    <w:p w14:paraId="1B1B9B51" w14:textId="58433AB0" w:rsidR="0098380F" w:rsidRPr="00943648" w:rsidRDefault="0098380F" w:rsidP="001200A9">
      <w:pPr>
        <w:numPr>
          <w:ilvl w:val="0"/>
          <w:numId w:val="9"/>
        </w:numPr>
        <w:overflowPunct/>
        <w:autoSpaceDE/>
        <w:autoSpaceDN/>
        <w:adjustRightInd/>
        <w:spacing w:after="120"/>
        <w:ind w:left="714" w:hanging="357"/>
        <w:textAlignment w:val="auto"/>
        <w:rPr>
          <w:rFonts w:eastAsia="Malgun Gothic"/>
          <w:lang w:val="en-US"/>
        </w:rPr>
      </w:pPr>
      <w:r w:rsidRPr="000C6EE7">
        <w:rPr>
          <w:rFonts w:eastAsia="MS Mincho"/>
          <w:i/>
          <w:lang w:val="en-US" w:eastAsia="ja-JP"/>
        </w:rPr>
        <w:t>FFS: common channels (e.g. random access)</w:t>
      </w:r>
    </w:p>
    <w:p w14:paraId="30CC06E2" w14:textId="019C9EE5" w:rsidR="00A10AD8" w:rsidRPr="00A10AD8" w:rsidRDefault="00A10AD8" w:rsidP="008C07FF">
      <w:pPr>
        <w:spacing w:after="60"/>
        <w:rPr>
          <w:rFonts w:eastAsia="MS Mincho"/>
          <w:b/>
          <w:u w:val="single"/>
          <w:lang w:val="en-US" w:eastAsia="ja-JP"/>
        </w:rPr>
      </w:pPr>
      <w:r w:rsidRPr="000C6EE7">
        <w:rPr>
          <w:rFonts w:eastAsia="MS Mincho"/>
          <w:b/>
          <w:highlight w:val="green"/>
          <w:u w:val="single"/>
          <w:lang w:val="en-US" w:eastAsia="ja-JP"/>
        </w:rPr>
        <w:t>Agreements:</w:t>
      </w:r>
    </w:p>
    <w:p w14:paraId="7B8333EE" w14:textId="262F66AD" w:rsidR="00A10AD8" w:rsidRPr="008C07FF" w:rsidRDefault="00A10AD8" w:rsidP="008C07FF">
      <w:pPr>
        <w:pStyle w:val="BodyText"/>
        <w:numPr>
          <w:ilvl w:val="0"/>
          <w:numId w:val="12"/>
        </w:numPr>
        <w:overflowPunct/>
        <w:autoSpaceDE/>
        <w:autoSpaceDN/>
        <w:adjustRightInd/>
        <w:ind w:left="714" w:hanging="357"/>
        <w:jc w:val="both"/>
        <w:textAlignment w:val="auto"/>
        <w:rPr>
          <w:rFonts w:eastAsia="Malgun Gothic"/>
        </w:rPr>
      </w:pPr>
      <w:r w:rsidRPr="00A10AD8">
        <w:rPr>
          <w:i/>
        </w:rPr>
        <w:t xml:space="preserve">It should be possible to </w:t>
      </w:r>
      <w:r w:rsidRPr="00A10AD8">
        <w:rPr>
          <w:rFonts w:hint="eastAsia"/>
          <w:i/>
          <w:lang w:eastAsia="ja-JP"/>
        </w:rPr>
        <w:t xml:space="preserve">dynamically </w:t>
      </w:r>
      <w:r w:rsidRPr="00A10AD8">
        <w:rPr>
          <w:i/>
        </w:rPr>
        <w:t>indicate (at least in combination with RRC) the timing between data reception and hybrid-ARQ acknowledgement transmission as part of the DCI.</w:t>
      </w:r>
    </w:p>
    <w:p w14:paraId="28F1A50C" w14:textId="77777777" w:rsidR="002B7E43" w:rsidRPr="008C07FF" w:rsidRDefault="002B7E43" w:rsidP="008C07FF">
      <w:pPr>
        <w:spacing w:after="60"/>
        <w:rPr>
          <w:rFonts w:eastAsia="MS Mincho"/>
          <w:b/>
          <w:highlight w:val="green"/>
          <w:u w:val="single"/>
          <w:lang w:val="en-US" w:eastAsia="ja-JP"/>
        </w:rPr>
      </w:pPr>
      <w:r w:rsidRPr="008C07FF">
        <w:rPr>
          <w:rFonts w:eastAsia="MS Mincho"/>
          <w:b/>
          <w:highlight w:val="green"/>
          <w:u w:val="single"/>
          <w:lang w:val="en-US" w:eastAsia="ja-JP"/>
        </w:rPr>
        <w:t xml:space="preserve">Agreements: </w:t>
      </w:r>
      <w:r w:rsidRPr="008C07FF">
        <w:rPr>
          <w:rFonts w:eastAsia="MS Mincho" w:hint="eastAsia"/>
          <w:b/>
          <w:highlight w:val="green"/>
          <w:u w:val="single"/>
          <w:lang w:val="en-US" w:eastAsia="ja-JP"/>
        </w:rPr>
        <w:t xml:space="preserve"> </w:t>
      </w:r>
    </w:p>
    <w:p w14:paraId="6915C056" w14:textId="731BC987"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Timing between DL data reception and corresponding acknowledgem</w:t>
      </w:r>
      <w:r w:rsidR="008C07FF" w:rsidRPr="008C07FF">
        <w:rPr>
          <w:rFonts w:eastAsia="MS Mincho"/>
          <w:i/>
          <w:sz w:val="20"/>
          <w:lang w:val="en-US" w:eastAsia="ja-JP"/>
        </w:rPr>
        <w:t xml:space="preserve">ent is indicated by a field in </w:t>
      </w:r>
      <w:r w:rsidRPr="008C07FF">
        <w:rPr>
          <w:rFonts w:eastAsia="MS Mincho"/>
          <w:i/>
          <w:sz w:val="20"/>
          <w:lang w:val="en-US" w:eastAsia="ja-JP"/>
        </w:rPr>
        <w:t>the DCI from a set of values</w:t>
      </w:r>
    </w:p>
    <w:p w14:paraId="02808314" w14:textId="68157D16" w:rsidR="002B7E43" w:rsidRPr="008C07FF" w:rsidRDefault="002B7E43" w:rsidP="008C07FF">
      <w:pPr>
        <w:pStyle w:val="ListParagraph"/>
        <w:numPr>
          <w:ilvl w:val="1"/>
          <w:numId w:val="9"/>
        </w:numPr>
        <w:rPr>
          <w:rFonts w:eastAsia="MS Mincho"/>
          <w:i/>
          <w:sz w:val="20"/>
          <w:lang w:val="en-US" w:eastAsia="ja-JP"/>
        </w:rPr>
      </w:pPr>
      <w:r w:rsidRPr="008C07FF">
        <w:rPr>
          <w:rFonts w:eastAsia="MS Mincho"/>
          <w:i/>
          <w:sz w:val="20"/>
          <w:lang w:val="en-US" w:eastAsia="ja-JP"/>
        </w:rPr>
        <w:t>The set of values is configured by higher layer</w:t>
      </w:r>
    </w:p>
    <w:p w14:paraId="173155F5" w14:textId="730CF030"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Timing(s) is (are) defined at least for the case where the timing(s) is (are) unknown to the UE</w:t>
      </w:r>
    </w:p>
    <w:p w14:paraId="5ABB5A9E" w14:textId="5642BE1B" w:rsidR="002B7E43" w:rsidRPr="008C07FF" w:rsidRDefault="002B7E43" w:rsidP="008C07FF">
      <w:pPr>
        <w:pStyle w:val="ListParagraph"/>
        <w:numPr>
          <w:ilvl w:val="1"/>
          <w:numId w:val="9"/>
        </w:numPr>
        <w:spacing w:after="120"/>
        <w:rPr>
          <w:rFonts w:eastAsia="MS Mincho"/>
          <w:i/>
          <w:sz w:val="20"/>
          <w:lang w:val="en-US" w:eastAsia="ja-JP"/>
        </w:rPr>
      </w:pPr>
      <w:r w:rsidRPr="008C07FF">
        <w:rPr>
          <w:rFonts w:eastAsia="MS Mincho"/>
          <w:i/>
          <w:sz w:val="20"/>
          <w:lang w:val="en-US" w:eastAsia="ja-JP"/>
        </w:rPr>
        <w:t>FFS the value for the timing</w:t>
      </w:r>
    </w:p>
    <w:p w14:paraId="7868975A" w14:textId="77777777" w:rsidR="002F115E" w:rsidRPr="002F115E" w:rsidRDefault="002F115E" w:rsidP="002F115E">
      <w:pPr>
        <w:spacing w:after="60"/>
        <w:rPr>
          <w:rFonts w:eastAsia="MS Mincho"/>
          <w:b/>
          <w:highlight w:val="green"/>
          <w:u w:val="single"/>
          <w:lang w:val="fi-FI" w:eastAsia="ja-JP"/>
        </w:rPr>
      </w:pPr>
      <w:r w:rsidRPr="002F115E">
        <w:rPr>
          <w:rFonts w:eastAsia="MS Mincho"/>
          <w:b/>
          <w:bCs/>
          <w:highlight w:val="green"/>
          <w:u w:val="single"/>
          <w:lang w:val="en-US" w:eastAsia="ja-JP"/>
        </w:rPr>
        <w:t>Agreements:</w:t>
      </w:r>
    </w:p>
    <w:p w14:paraId="5F835E44" w14:textId="77777777" w:rsidR="00C42FB2" w:rsidRPr="001200A9" w:rsidRDefault="00F56C62" w:rsidP="001200A9">
      <w:pPr>
        <w:numPr>
          <w:ilvl w:val="0"/>
          <w:numId w:val="15"/>
        </w:numPr>
        <w:tabs>
          <w:tab w:val="left" w:pos="720"/>
        </w:tabs>
        <w:spacing w:after="0"/>
        <w:ind w:hanging="357"/>
        <w:rPr>
          <w:rFonts w:eastAsia="MS Mincho"/>
          <w:i/>
          <w:lang w:val="en-US" w:eastAsia="ja-JP"/>
        </w:rPr>
      </w:pPr>
      <w:r w:rsidRPr="001200A9">
        <w:rPr>
          <w:rFonts w:eastAsia="MS Mincho"/>
          <w:i/>
          <w:lang w:val="en-US" w:eastAsia="ja-JP"/>
        </w:rPr>
        <w:t>Confirm the working assumption as below.</w:t>
      </w:r>
    </w:p>
    <w:p w14:paraId="4DC4393C" w14:textId="77777777" w:rsidR="00C42FB2" w:rsidRPr="001200A9" w:rsidRDefault="00F56C62" w:rsidP="001200A9">
      <w:pPr>
        <w:numPr>
          <w:ilvl w:val="1"/>
          <w:numId w:val="15"/>
        </w:numPr>
        <w:tabs>
          <w:tab w:val="clear" w:pos="1440"/>
        </w:tabs>
        <w:spacing w:after="0"/>
        <w:ind w:hanging="357"/>
        <w:rPr>
          <w:rFonts w:eastAsia="MS Mincho"/>
          <w:i/>
          <w:lang w:val="en-US" w:eastAsia="ja-JP"/>
        </w:rPr>
      </w:pPr>
      <w:r w:rsidRPr="001200A9">
        <w:rPr>
          <w:rFonts w:eastAsia="MS Mincho"/>
          <w:i/>
          <w:lang w:val="en-US" w:eastAsia="ja-JP"/>
        </w:rPr>
        <w:t>CBG-based transmission with single/multi-bit HARQ-ACK feedback is supported in Rel-15, which shall have the following characteristics:</w:t>
      </w:r>
    </w:p>
    <w:p w14:paraId="7BD4872A" w14:textId="77777777" w:rsidR="00C42FB2" w:rsidRPr="001200A9" w:rsidRDefault="00F56C62" w:rsidP="001200A9">
      <w:pPr>
        <w:numPr>
          <w:ilvl w:val="2"/>
          <w:numId w:val="15"/>
        </w:numPr>
        <w:tabs>
          <w:tab w:val="clear" w:pos="2160"/>
        </w:tabs>
        <w:spacing w:after="0"/>
        <w:ind w:hanging="357"/>
        <w:rPr>
          <w:rFonts w:eastAsia="MS Mincho"/>
          <w:i/>
          <w:lang w:val="en-US" w:eastAsia="ja-JP"/>
        </w:rPr>
      </w:pPr>
      <w:r w:rsidRPr="001200A9">
        <w:rPr>
          <w:rFonts w:eastAsia="MS Mincho"/>
          <w:i/>
          <w:lang w:val="en-US" w:eastAsia="ja-JP"/>
        </w:rPr>
        <w:t>Only allow CBG based (re)-transmission for the same TB of a HARQ process</w:t>
      </w:r>
    </w:p>
    <w:p w14:paraId="23524454" w14:textId="77777777" w:rsidR="00C42FB2" w:rsidRPr="001200A9" w:rsidRDefault="00F56C62" w:rsidP="001200A9">
      <w:pPr>
        <w:numPr>
          <w:ilvl w:val="2"/>
          <w:numId w:val="15"/>
        </w:numPr>
        <w:tabs>
          <w:tab w:val="clear" w:pos="2160"/>
        </w:tabs>
        <w:spacing w:after="0"/>
        <w:ind w:hanging="357"/>
        <w:rPr>
          <w:rFonts w:eastAsia="MS Mincho"/>
          <w:i/>
          <w:lang w:val="en-US" w:eastAsia="ja-JP"/>
        </w:rPr>
      </w:pPr>
      <w:r w:rsidRPr="001200A9">
        <w:rPr>
          <w:rFonts w:eastAsia="MS Mincho"/>
          <w:i/>
          <w:lang w:val="en-US" w:eastAsia="ja-JP"/>
        </w:rPr>
        <w:t>CBG can include all CB of a TB regardless of the size of the TB – In the such case, UE reports single HARQ ACK bits for the TB</w:t>
      </w:r>
    </w:p>
    <w:p w14:paraId="26141DEA" w14:textId="77777777" w:rsidR="00C42FB2" w:rsidRPr="001200A9" w:rsidRDefault="00F56C62" w:rsidP="001200A9">
      <w:pPr>
        <w:numPr>
          <w:ilvl w:val="2"/>
          <w:numId w:val="15"/>
        </w:numPr>
        <w:tabs>
          <w:tab w:val="clear" w:pos="2160"/>
        </w:tabs>
        <w:spacing w:after="0"/>
        <w:ind w:hanging="357"/>
        <w:rPr>
          <w:rFonts w:eastAsia="MS Mincho"/>
          <w:i/>
          <w:lang w:val="fi-FI" w:eastAsia="ja-JP"/>
        </w:rPr>
      </w:pPr>
      <w:r w:rsidRPr="001200A9">
        <w:rPr>
          <w:rFonts w:eastAsia="MS Mincho"/>
          <w:i/>
          <w:lang w:val="en-US" w:eastAsia="ja-JP"/>
        </w:rPr>
        <w:t>CBG can include one CB</w:t>
      </w:r>
    </w:p>
    <w:p w14:paraId="0EC5B365" w14:textId="0585EC29" w:rsidR="001200A9" w:rsidRPr="001200A9" w:rsidRDefault="00F56C62" w:rsidP="001200A9">
      <w:pPr>
        <w:numPr>
          <w:ilvl w:val="2"/>
          <w:numId w:val="15"/>
        </w:numPr>
        <w:tabs>
          <w:tab w:val="clear" w:pos="2160"/>
        </w:tabs>
        <w:spacing w:after="120"/>
        <w:ind w:left="2154" w:hanging="357"/>
        <w:rPr>
          <w:rFonts w:eastAsia="MS Mincho"/>
          <w:i/>
          <w:lang w:val="fi-FI" w:eastAsia="ja-JP"/>
        </w:rPr>
      </w:pPr>
      <w:r w:rsidRPr="001200A9">
        <w:rPr>
          <w:rFonts w:eastAsia="MS Mincho"/>
          <w:i/>
          <w:lang w:val="en-US" w:eastAsia="ja-JP"/>
        </w:rPr>
        <w:t>CBG granularity is configurable</w:t>
      </w:r>
    </w:p>
    <w:p w14:paraId="4718FD0F" w14:textId="56697DBA" w:rsidR="000C6EE7" w:rsidRPr="002E758C" w:rsidRDefault="006C0F68" w:rsidP="000C6EE7">
      <w:pPr>
        <w:spacing w:after="120"/>
        <w:jc w:val="both"/>
        <w:rPr>
          <w:bCs/>
        </w:rPr>
      </w:pPr>
      <w:r>
        <w:rPr>
          <w:rFonts w:eastAsia="Malgun Gothic"/>
          <w:lang w:val="en-US"/>
        </w:rPr>
        <w:t>F</w:t>
      </w:r>
      <w:r w:rsidR="000C6EE7">
        <w:rPr>
          <w:rFonts w:eastAsia="Malgun Gothic"/>
        </w:rPr>
        <w:t xml:space="preserve">ollowing agreements related to the multiplexing of different numerologies on a same NR carrier were </w:t>
      </w:r>
      <w:r w:rsidR="000C6EE7">
        <w:rPr>
          <w:bCs/>
        </w:rPr>
        <w:t>made</w:t>
      </w:r>
      <w:r>
        <w:rPr>
          <w:bCs/>
        </w:rPr>
        <w:t xml:space="preserve"> during NR SI</w:t>
      </w:r>
      <w:r w:rsidR="00A10AD8">
        <w:rPr>
          <w:bCs/>
        </w:rPr>
        <w:t xml:space="preserve"> [</w:t>
      </w:r>
      <w:r w:rsidR="002F115E">
        <w:rPr>
          <w:bCs/>
        </w:rPr>
        <w:t>7</w:t>
      </w:r>
      <w:r w:rsidR="00A10AD8">
        <w:rPr>
          <w:bCs/>
        </w:rPr>
        <w:t>]</w:t>
      </w:r>
      <w:r w:rsidR="00833822">
        <w:rPr>
          <w:bCs/>
        </w:rPr>
        <w:t xml:space="preserve">, </w:t>
      </w:r>
      <w:r w:rsidR="00A10AD8">
        <w:rPr>
          <w:bCs/>
        </w:rPr>
        <w:t>[4]:</w:t>
      </w:r>
      <w:r w:rsidR="000C6EE7">
        <w:rPr>
          <w:bCs/>
        </w:rPr>
        <w:t xml:space="preserve"> </w:t>
      </w:r>
    </w:p>
    <w:p w14:paraId="183A84A1" w14:textId="77777777" w:rsidR="000C6EE7" w:rsidRPr="00D21534" w:rsidRDefault="000C6EE7" w:rsidP="008C07FF">
      <w:pPr>
        <w:spacing w:after="60"/>
        <w:rPr>
          <w:rFonts w:eastAsia="MS Mincho"/>
          <w:b/>
          <w:u w:val="single"/>
          <w:lang w:val="en-US" w:eastAsia="ja-JP"/>
        </w:rPr>
      </w:pPr>
      <w:r w:rsidRPr="00D21534">
        <w:rPr>
          <w:rFonts w:eastAsia="MS Mincho" w:hint="eastAsia"/>
          <w:b/>
          <w:highlight w:val="green"/>
          <w:u w:val="single"/>
          <w:lang w:val="en-US" w:eastAsia="ja-JP"/>
        </w:rPr>
        <w:t>Agreements:</w:t>
      </w:r>
    </w:p>
    <w:p w14:paraId="17FED1DB" w14:textId="77777777" w:rsidR="000C6EE7" w:rsidRPr="000C6EE7" w:rsidRDefault="000C6EE7" w:rsidP="000C6EE7">
      <w:pPr>
        <w:numPr>
          <w:ilvl w:val="0"/>
          <w:numId w:val="10"/>
        </w:numPr>
        <w:overflowPunct/>
        <w:autoSpaceDE/>
        <w:autoSpaceDN/>
        <w:adjustRightInd/>
        <w:spacing w:after="0"/>
        <w:textAlignment w:val="auto"/>
        <w:rPr>
          <w:rFonts w:eastAsia="MS Mincho"/>
          <w:i/>
          <w:lang w:val="en-US" w:eastAsia="ja-JP"/>
        </w:rPr>
      </w:pPr>
      <w:r w:rsidRPr="000C6EE7">
        <w:rPr>
          <w:rFonts w:eastAsia="MS Mincho"/>
          <w:i/>
          <w:lang w:val="en-US" w:eastAsia="ja-JP"/>
        </w:rPr>
        <w:t>Forward compatibility of NR shall ensure smooth introduction of future services and features with no impact on the access of earlier services and UEs</w:t>
      </w:r>
    </w:p>
    <w:p w14:paraId="25C58F55" w14:textId="77777777" w:rsidR="000C6EE7" w:rsidRPr="000C6EE7" w:rsidRDefault="000C6EE7" w:rsidP="000C6EE7">
      <w:pPr>
        <w:numPr>
          <w:ilvl w:val="1"/>
          <w:numId w:val="10"/>
        </w:numPr>
        <w:overflowPunct/>
        <w:autoSpaceDE/>
        <w:autoSpaceDN/>
        <w:adjustRightInd/>
        <w:spacing w:after="0"/>
        <w:textAlignment w:val="auto"/>
        <w:rPr>
          <w:rFonts w:eastAsia="MS Mincho"/>
          <w:i/>
          <w:lang w:val="en-US" w:eastAsia="ja-JP"/>
        </w:rPr>
      </w:pPr>
      <w:r w:rsidRPr="000C6EE7">
        <w:rPr>
          <w:rFonts w:eastAsia="MS Mincho"/>
          <w:i/>
          <w:lang w:val="en-US" w:eastAsia="ja-JP"/>
        </w:rPr>
        <w:t>Multiplexing different numerologies within a same NR carrier</w:t>
      </w:r>
      <w:r w:rsidRPr="000C6EE7">
        <w:rPr>
          <w:rFonts w:ascii="Century" w:eastAsia="MS Mincho" w:hAnsi="Calibri"/>
          <w:i/>
          <w:color w:val="FF0000"/>
          <w:kern w:val="24"/>
          <w:sz w:val="40"/>
          <w:szCs w:val="40"/>
        </w:rPr>
        <w:t xml:space="preserve"> </w:t>
      </w:r>
      <w:r w:rsidRPr="000C6EE7">
        <w:rPr>
          <w:rFonts w:eastAsia="MS Mincho"/>
          <w:i/>
          <w:lang w:eastAsia="ja-JP"/>
        </w:rPr>
        <w:t xml:space="preserve">bandwidth </w:t>
      </w:r>
      <w:r w:rsidRPr="000C6EE7">
        <w:rPr>
          <w:rFonts w:eastAsia="MS Mincho"/>
          <w:i/>
          <w:lang w:val="en-US" w:eastAsia="ja-JP"/>
        </w:rPr>
        <w:t xml:space="preserve">(from the network perspective) </w:t>
      </w:r>
      <w:r w:rsidRPr="000C6EE7">
        <w:rPr>
          <w:rFonts w:eastAsia="MS Mincho" w:hint="eastAsia"/>
          <w:i/>
          <w:lang w:val="en-US" w:eastAsia="ja-JP"/>
        </w:rPr>
        <w:t>is supported</w:t>
      </w:r>
    </w:p>
    <w:p w14:paraId="27188260" w14:textId="77777777" w:rsidR="000C6EE7" w:rsidRPr="001B5EF3" w:rsidRDefault="000C6EE7" w:rsidP="001200A9">
      <w:pPr>
        <w:numPr>
          <w:ilvl w:val="2"/>
          <w:numId w:val="10"/>
        </w:numPr>
        <w:overflowPunct/>
        <w:autoSpaceDE/>
        <w:autoSpaceDN/>
        <w:adjustRightInd/>
        <w:spacing w:after="120"/>
        <w:ind w:left="2154" w:hanging="357"/>
        <w:textAlignment w:val="auto"/>
        <w:rPr>
          <w:i/>
        </w:rPr>
      </w:pPr>
      <w:r w:rsidRPr="000C6EE7">
        <w:rPr>
          <w:rFonts w:eastAsia="MS Mincho" w:hint="eastAsia"/>
          <w:i/>
          <w:lang w:val="en-US" w:eastAsia="ja-JP"/>
        </w:rPr>
        <w:t>FDM and/or TDM multiplexing can be considered</w:t>
      </w:r>
    </w:p>
    <w:p w14:paraId="4E85D6ED" w14:textId="77777777" w:rsidR="001B5EF3" w:rsidRPr="00D21534" w:rsidRDefault="001B5EF3" w:rsidP="008C07FF">
      <w:pPr>
        <w:spacing w:after="60"/>
        <w:rPr>
          <w:rFonts w:eastAsia="MS Mincho"/>
          <w:b/>
          <w:u w:val="single"/>
          <w:lang w:val="en-US" w:eastAsia="ja-JP"/>
        </w:rPr>
      </w:pPr>
      <w:r w:rsidRPr="00D21534">
        <w:rPr>
          <w:rFonts w:eastAsia="MS Mincho" w:hint="eastAsia"/>
          <w:b/>
          <w:highlight w:val="green"/>
          <w:u w:val="single"/>
          <w:lang w:val="en-US" w:eastAsia="ja-JP"/>
        </w:rPr>
        <w:t>Agreements:</w:t>
      </w:r>
    </w:p>
    <w:p w14:paraId="56E29BF4" w14:textId="118289E4" w:rsidR="001B5EF3" w:rsidRPr="00943648" w:rsidRDefault="001B5EF3" w:rsidP="001B5EF3">
      <w:pPr>
        <w:numPr>
          <w:ilvl w:val="0"/>
          <w:numId w:val="10"/>
        </w:numPr>
        <w:overflowPunct/>
        <w:autoSpaceDE/>
        <w:autoSpaceDN/>
        <w:adjustRightInd/>
        <w:spacing w:after="0"/>
        <w:ind w:hanging="357"/>
        <w:textAlignment w:val="auto"/>
        <w:rPr>
          <w:i/>
        </w:rPr>
      </w:pPr>
      <w:r>
        <w:rPr>
          <w:rFonts w:eastAsia="MS Mincho"/>
          <w:i/>
          <w:lang w:val="en-US" w:eastAsia="ja-JP"/>
        </w:rPr>
        <w:t xml:space="preserve">NR strives for efficient support of dynamic resource allocation of different numerologies in FDM/TDM </w:t>
      </w:r>
      <w:r w:rsidRPr="00943648">
        <w:rPr>
          <w:rFonts w:eastAsia="MS Mincho"/>
          <w:i/>
          <w:lang w:val="en-US" w:eastAsia="ja-JP"/>
        </w:rPr>
        <w:t xml:space="preserve">fashion. </w:t>
      </w:r>
    </w:p>
    <w:p w14:paraId="57F0B25D" w14:textId="7CD07F23" w:rsidR="001B5EF3" w:rsidRPr="0055245B" w:rsidRDefault="001B5EF3" w:rsidP="001B5EF3">
      <w:pPr>
        <w:numPr>
          <w:ilvl w:val="1"/>
          <w:numId w:val="10"/>
        </w:numPr>
        <w:overflowPunct/>
        <w:autoSpaceDE/>
        <w:autoSpaceDN/>
        <w:adjustRightInd/>
        <w:spacing w:after="0"/>
        <w:ind w:hanging="357"/>
        <w:textAlignment w:val="auto"/>
        <w:rPr>
          <w:i/>
        </w:rPr>
      </w:pPr>
      <w:r w:rsidRPr="0055245B">
        <w:rPr>
          <w:rFonts w:eastAsia="MS Mincho"/>
          <w:i/>
          <w:lang w:val="en-US" w:eastAsia="ja-JP"/>
        </w:rPr>
        <w:lastRenderedPageBreak/>
        <w:t>Potential specification impact includes but is not limited to:</w:t>
      </w:r>
    </w:p>
    <w:p w14:paraId="47F77F03" w14:textId="52871C9F" w:rsidR="001B5EF3" w:rsidRPr="0055245B" w:rsidRDefault="001B5EF3" w:rsidP="001B5EF3">
      <w:pPr>
        <w:numPr>
          <w:ilvl w:val="2"/>
          <w:numId w:val="10"/>
        </w:numPr>
        <w:overflowPunct/>
        <w:autoSpaceDE/>
        <w:autoSpaceDN/>
        <w:adjustRightInd/>
        <w:spacing w:after="0"/>
        <w:ind w:hanging="357"/>
        <w:textAlignment w:val="auto"/>
        <w:rPr>
          <w:i/>
        </w:rPr>
      </w:pPr>
      <w:r w:rsidRPr="0055245B">
        <w:rPr>
          <w:rFonts w:eastAsia="MS Mincho"/>
          <w:i/>
          <w:lang w:eastAsia="ja-JP"/>
        </w:rPr>
        <w:t>FFS: CSI-RS measurement</w:t>
      </w:r>
    </w:p>
    <w:p w14:paraId="65AA54E1" w14:textId="5819A3CC" w:rsidR="001B5EF3" w:rsidRPr="0055245B" w:rsidRDefault="001B5EF3" w:rsidP="001B5EF3">
      <w:pPr>
        <w:numPr>
          <w:ilvl w:val="2"/>
          <w:numId w:val="10"/>
        </w:numPr>
        <w:overflowPunct/>
        <w:autoSpaceDE/>
        <w:autoSpaceDN/>
        <w:adjustRightInd/>
        <w:spacing w:after="0"/>
        <w:ind w:hanging="357"/>
        <w:textAlignment w:val="auto"/>
        <w:rPr>
          <w:i/>
        </w:rPr>
      </w:pPr>
      <w:r w:rsidRPr="0055245B">
        <w:rPr>
          <w:rFonts w:eastAsia="MS Mincho"/>
          <w:i/>
          <w:lang w:eastAsia="ja-JP"/>
        </w:rPr>
        <w:t>FFS: the time and frequency granularity of dynamic resource allocation</w:t>
      </w:r>
    </w:p>
    <w:p w14:paraId="2DCDD4D4" w14:textId="64EA3A5C" w:rsidR="003879FD" w:rsidRPr="00943648" w:rsidRDefault="003879FD" w:rsidP="0055245B">
      <w:pPr>
        <w:numPr>
          <w:ilvl w:val="1"/>
          <w:numId w:val="10"/>
        </w:numPr>
        <w:overflowPunct/>
        <w:autoSpaceDE/>
        <w:autoSpaceDN/>
        <w:adjustRightInd/>
        <w:spacing w:after="0"/>
        <w:textAlignment w:val="auto"/>
        <w:rPr>
          <w:i/>
        </w:rPr>
      </w:pPr>
      <w:r>
        <w:rPr>
          <w:i/>
        </w:rPr>
        <w:t>FFS: if spectrum confinement (filtering, windowing,…) can be dynamically varied or not</w:t>
      </w:r>
    </w:p>
    <w:p w14:paraId="0D10C6D0" w14:textId="77777777" w:rsidR="00194115" w:rsidRPr="00943648" w:rsidRDefault="00194115" w:rsidP="00943648">
      <w:pPr>
        <w:overflowPunct/>
        <w:autoSpaceDE/>
        <w:autoSpaceDN/>
        <w:adjustRightInd/>
        <w:spacing w:after="0"/>
        <w:ind w:left="1435"/>
        <w:textAlignment w:val="auto"/>
        <w:rPr>
          <w:rFonts w:eastAsia="MS Mincho"/>
          <w:b/>
          <w:sz w:val="18"/>
          <w:highlight w:val="green"/>
          <w:u w:val="single"/>
          <w:lang w:val="en-US" w:eastAsia="ja-JP"/>
        </w:rPr>
      </w:pPr>
    </w:p>
    <w:p w14:paraId="48E1CB1D" w14:textId="1322FB40" w:rsidR="0078539D" w:rsidRDefault="00B04478" w:rsidP="00E13EE4">
      <w:pPr>
        <w:spacing w:after="120"/>
        <w:jc w:val="both"/>
      </w:pPr>
      <w:r>
        <w:rPr>
          <w:bCs/>
          <w:lang w:val="en-US"/>
        </w:rPr>
        <w:t>Flexible HARQ-</w:t>
      </w:r>
      <w:r w:rsidR="0098380F">
        <w:rPr>
          <w:bCs/>
          <w:lang w:val="en-US"/>
        </w:rPr>
        <w:t>ACK timing facilities e.g. high</w:t>
      </w:r>
      <w:r w:rsidR="00510FD9">
        <w:rPr>
          <w:bCs/>
          <w:lang w:val="en-US"/>
        </w:rPr>
        <w:t>ly flexible UL/DL configuration</w:t>
      </w:r>
      <w:r w:rsidR="0098380F">
        <w:rPr>
          <w:bCs/>
          <w:lang w:val="en-US"/>
        </w:rPr>
        <w:t xml:space="preserve"> but impacts also </w:t>
      </w:r>
      <w:r w:rsidR="00B171B4">
        <w:rPr>
          <w:bCs/>
          <w:lang w:val="en-US"/>
        </w:rPr>
        <w:t xml:space="preserve">the </w:t>
      </w:r>
      <w:r w:rsidR="0098380F">
        <w:rPr>
          <w:bCs/>
        </w:rPr>
        <w:t xml:space="preserve">determination of HARQ feedback </w:t>
      </w:r>
      <w:r w:rsidR="00C0360A">
        <w:rPr>
          <w:bCs/>
        </w:rPr>
        <w:t xml:space="preserve">transmitted </w:t>
      </w:r>
      <w:r w:rsidR="0098380F">
        <w:rPr>
          <w:bCs/>
        </w:rPr>
        <w:t>on UL.</w:t>
      </w:r>
      <w:r w:rsidR="001200A9">
        <w:rPr>
          <w:bCs/>
        </w:rPr>
        <w:t xml:space="preserve"> HARQ feedback determination will be impacted also by</w:t>
      </w:r>
      <w:r w:rsidR="00CC65F0">
        <w:rPr>
          <w:bCs/>
        </w:rPr>
        <w:t xml:space="preserve"> different numerologies </w:t>
      </w:r>
      <w:r w:rsidR="00DA30D2">
        <w:rPr>
          <w:bCs/>
        </w:rPr>
        <w:t xml:space="preserve">used on the DL carriers with HARQ feedback reported on the same UL </w:t>
      </w:r>
      <w:r w:rsidR="00B171B4">
        <w:rPr>
          <w:bCs/>
        </w:rPr>
        <w:t xml:space="preserve">carrier </w:t>
      </w:r>
      <w:r w:rsidR="00DA30D2">
        <w:rPr>
          <w:bCs/>
        </w:rPr>
        <w:t>as well as by</w:t>
      </w:r>
      <w:r w:rsidR="001200A9">
        <w:rPr>
          <w:bCs/>
        </w:rPr>
        <w:t xml:space="preserve"> </w:t>
      </w:r>
      <w:r w:rsidR="000E0635">
        <w:rPr>
          <w:bCs/>
        </w:rPr>
        <w:t>C</w:t>
      </w:r>
      <w:r w:rsidR="001200A9">
        <w:rPr>
          <w:bCs/>
        </w:rPr>
        <w:t xml:space="preserve">BG-based </w:t>
      </w:r>
      <w:r w:rsidR="00B171B4">
        <w:rPr>
          <w:bCs/>
        </w:rPr>
        <w:t>(</w:t>
      </w:r>
      <w:r w:rsidR="001200A9">
        <w:rPr>
          <w:bCs/>
        </w:rPr>
        <w:t>re</w:t>
      </w:r>
      <w:r w:rsidR="00B171B4">
        <w:rPr>
          <w:bCs/>
        </w:rPr>
        <w:t>-)</w:t>
      </w:r>
      <w:r w:rsidR="001200A9">
        <w:rPr>
          <w:bCs/>
        </w:rPr>
        <w:t>transmission.</w:t>
      </w:r>
      <w:r w:rsidR="0098380F">
        <w:rPr>
          <w:bCs/>
        </w:rPr>
        <w:t xml:space="preserve"> </w:t>
      </w:r>
      <w:r w:rsidR="0098380F" w:rsidRPr="00F14A1C">
        <w:rPr>
          <w:bCs/>
        </w:rPr>
        <w:t>Further, if dynamic resource allocation of different numerologies per UE turns out to be agreed by RAN1, it will also impact HARQ feedback determination.</w:t>
      </w:r>
      <w:r w:rsidR="0098380F">
        <w:rPr>
          <w:bCs/>
        </w:rPr>
        <w:t xml:space="preserve"> These impacts are addressed in</w:t>
      </w:r>
      <w:r w:rsidR="0098380F">
        <w:rPr>
          <w:bCs/>
          <w:lang w:val="en-US"/>
        </w:rPr>
        <w:t xml:space="preserve"> </w:t>
      </w:r>
      <w:r w:rsidR="0098380F">
        <w:rPr>
          <w:bCs/>
        </w:rPr>
        <w:t>t</w:t>
      </w:r>
      <w:r w:rsidR="000C6EE7">
        <w:rPr>
          <w:bCs/>
        </w:rPr>
        <w:t>his contribution</w:t>
      </w:r>
      <w:r w:rsidR="0098380F">
        <w:rPr>
          <w:bCs/>
        </w:rPr>
        <w:t>.</w:t>
      </w:r>
      <w:r w:rsidR="00017C9E">
        <w:rPr>
          <w:bCs/>
        </w:rPr>
        <w:t xml:space="preserve"> </w:t>
      </w:r>
    </w:p>
    <w:p w14:paraId="48E1CB38" w14:textId="4B7A081F" w:rsidR="00536930" w:rsidRDefault="00AB16D3" w:rsidP="00CF0B1C">
      <w:pPr>
        <w:pStyle w:val="Heading1"/>
        <w:ind w:left="0" w:firstLine="0"/>
      </w:pPr>
      <w:r>
        <w:rPr>
          <w:color w:val="000000"/>
        </w:rPr>
        <w:t>2</w:t>
      </w:r>
      <w:r w:rsidR="00CF0B1C">
        <w:rPr>
          <w:color w:val="000000"/>
        </w:rPr>
        <w:t>.</w:t>
      </w:r>
      <w:r w:rsidR="00536930" w:rsidRPr="00A51522">
        <w:rPr>
          <w:color w:val="000000"/>
        </w:rPr>
        <w:tab/>
      </w:r>
      <w:r w:rsidR="00273D2F">
        <w:t>Discussion</w:t>
      </w:r>
      <w:r w:rsidR="00536930">
        <w:t xml:space="preserve"> </w:t>
      </w:r>
    </w:p>
    <w:p w14:paraId="4C17E4AC" w14:textId="1A7D9DBB" w:rsidR="00510FD9" w:rsidRDefault="0098380F" w:rsidP="005E2A9F">
      <w:pPr>
        <w:pStyle w:val="BodyText"/>
        <w:overflowPunct/>
        <w:autoSpaceDE/>
        <w:autoSpaceDN/>
        <w:adjustRightInd/>
        <w:jc w:val="both"/>
        <w:textAlignment w:val="auto"/>
        <w:rPr>
          <w:rFonts w:eastAsia="MS Mincho"/>
          <w:lang w:val="en-US" w:eastAsia="ja-JP"/>
        </w:rPr>
      </w:pPr>
      <w:r w:rsidRPr="00E653BD">
        <w:rPr>
          <w:lang w:val="en-US"/>
        </w:rPr>
        <w:t xml:space="preserve">In </w:t>
      </w:r>
      <w:r w:rsidR="00C0360A" w:rsidRPr="00E653BD">
        <w:rPr>
          <w:lang w:val="en-US"/>
        </w:rPr>
        <w:t>LTE</w:t>
      </w:r>
      <w:r w:rsidR="00E653BD" w:rsidRPr="00E653BD">
        <w:rPr>
          <w:lang w:val="en-US"/>
        </w:rPr>
        <w:t>,</w:t>
      </w:r>
      <w:r w:rsidR="00E653BD" w:rsidRPr="00E653BD">
        <w:rPr>
          <w:rFonts w:eastAsia="MS Mincho"/>
          <w:lang w:val="en-US" w:eastAsia="ja-JP"/>
        </w:rPr>
        <w:t xml:space="preserve"> the timing relationship between DL data reception and corresponding acknowledgement</w:t>
      </w:r>
      <w:r w:rsidR="00E653BD">
        <w:rPr>
          <w:rFonts w:eastAsia="MS Mincho"/>
          <w:lang w:val="en-US" w:eastAsia="ja-JP"/>
        </w:rPr>
        <w:t xml:space="preserve"> is predetermined in the specification. In LTE TDD, the HARQ</w:t>
      </w:r>
      <w:r w:rsidR="00B171B4">
        <w:rPr>
          <w:rFonts w:eastAsia="MS Mincho"/>
          <w:lang w:val="en-US" w:eastAsia="ja-JP"/>
        </w:rPr>
        <w:t>-</w:t>
      </w:r>
      <w:r w:rsidR="00E653BD">
        <w:rPr>
          <w:rFonts w:eastAsia="MS Mincho"/>
          <w:lang w:val="en-US" w:eastAsia="ja-JP"/>
        </w:rPr>
        <w:t>ACK timing as well as the DL subframes for which HARQ</w:t>
      </w:r>
      <w:r w:rsidR="00B171B4">
        <w:rPr>
          <w:rFonts w:eastAsia="MS Mincho"/>
          <w:lang w:val="en-US" w:eastAsia="ja-JP"/>
        </w:rPr>
        <w:t>-</w:t>
      </w:r>
      <w:r w:rsidR="00E653BD">
        <w:rPr>
          <w:rFonts w:eastAsia="MS Mincho"/>
          <w:lang w:val="en-US" w:eastAsia="ja-JP"/>
        </w:rPr>
        <w:t>ACK is reported in a certain UL subframe</w:t>
      </w:r>
      <w:r w:rsidR="00510FD9">
        <w:rPr>
          <w:rFonts w:eastAsia="MS Mincho"/>
          <w:lang w:val="en-US" w:eastAsia="ja-JP"/>
        </w:rPr>
        <w:t xml:space="preserve"> (aka DL association set)</w:t>
      </w:r>
      <w:r w:rsidR="00E653BD">
        <w:rPr>
          <w:rFonts w:eastAsia="MS Mincho"/>
          <w:lang w:val="en-US" w:eastAsia="ja-JP"/>
        </w:rPr>
        <w:t xml:space="preserve"> is determined based on the subframe number and used UL/DL configuration. That kind of approach turns out cumbersome when more flexible UL/D</w:t>
      </w:r>
      <w:r w:rsidR="00510FD9">
        <w:rPr>
          <w:rFonts w:eastAsia="MS Mincho"/>
          <w:lang w:val="en-US" w:eastAsia="ja-JP"/>
        </w:rPr>
        <w:t>L configurations are supported and</w:t>
      </w:r>
      <w:r w:rsidR="00E653BD">
        <w:rPr>
          <w:rFonts w:eastAsia="MS Mincho"/>
          <w:lang w:val="en-US" w:eastAsia="ja-JP"/>
        </w:rPr>
        <w:t xml:space="preserve"> tabulation of all possible combinations becomes </w:t>
      </w:r>
      <w:r w:rsidR="00510FD9">
        <w:rPr>
          <w:rFonts w:eastAsia="MS Mincho"/>
          <w:lang w:val="en-US" w:eastAsia="ja-JP"/>
        </w:rPr>
        <w:t xml:space="preserve">increasingly </w:t>
      </w:r>
      <w:r w:rsidR="00E653BD">
        <w:rPr>
          <w:rFonts w:eastAsia="MS Mincho"/>
          <w:lang w:val="en-US" w:eastAsia="ja-JP"/>
        </w:rPr>
        <w:t xml:space="preserve">complex. This can be seen e.g. with LTE LAA, </w:t>
      </w:r>
      <w:r w:rsidR="00510FD9">
        <w:rPr>
          <w:rFonts w:eastAsia="MS Mincho"/>
          <w:lang w:val="en-US" w:eastAsia="ja-JP"/>
        </w:rPr>
        <w:t xml:space="preserve">where HARQ feedback for LAA SCell is essentially determined as if LAA SCell were FDD SCell – just for the sake of simplicity. </w:t>
      </w:r>
    </w:p>
    <w:p w14:paraId="3FBD9E55" w14:textId="33B5A77C" w:rsidR="009A42FE" w:rsidRDefault="00510FD9" w:rsidP="0076017B">
      <w:pPr>
        <w:pStyle w:val="BodyText"/>
        <w:overflowPunct/>
        <w:autoSpaceDE/>
        <w:autoSpaceDN/>
        <w:adjustRightInd/>
        <w:jc w:val="both"/>
        <w:textAlignment w:val="auto"/>
        <w:rPr>
          <w:rFonts w:eastAsia="MS Mincho"/>
          <w:lang w:val="en-US" w:eastAsia="ja-JP"/>
        </w:rPr>
      </w:pPr>
      <w:r>
        <w:rPr>
          <w:rFonts w:eastAsia="MS Mincho"/>
          <w:lang w:val="en-US" w:eastAsia="ja-JP"/>
        </w:rPr>
        <w:t>In NR, highly flexible UL/DL configuration efficiently adapting air interface to the variations on traffic is desired. Correspondingly, determination of HARQ feedback, including determination of HARQ</w:t>
      </w:r>
      <w:r w:rsidR="00B171B4">
        <w:rPr>
          <w:rFonts w:eastAsia="MS Mincho"/>
          <w:lang w:val="en-US" w:eastAsia="ja-JP"/>
        </w:rPr>
        <w:t>-</w:t>
      </w:r>
      <w:r>
        <w:rPr>
          <w:rFonts w:eastAsia="MS Mincho"/>
          <w:lang w:val="en-US" w:eastAsia="ja-JP"/>
        </w:rPr>
        <w:t>ACK codebook size as well as DL association set (i.e. set of</w:t>
      </w:r>
      <w:r w:rsidRPr="00510FD9">
        <w:rPr>
          <w:rFonts w:eastAsia="MS Mincho"/>
          <w:lang w:val="en-US" w:eastAsia="ja-JP"/>
        </w:rPr>
        <w:t xml:space="preserve"> </w:t>
      </w:r>
      <w:r>
        <w:rPr>
          <w:rFonts w:eastAsia="MS Mincho"/>
          <w:lang w:val="en-US" w:eastAsia="ja-JP"/>
        </w:rPr>
        <w:t>DL</w:t>
      </w:r>
      <w:r w:rsidR="00AD57CD">
        <w:rPr>
          <w:rFonts w:eastAsia="MS Mincho"/>
          <w:lang w:val="en-US" w:eastAsia="ja-JP"/>
        </w:rPr>
        <w:t xml:space="preserve"> slot</w:t>
      </w:r>
      <w:r>
        <w:rPr>
          <w:rFonts w:eastAsia="MS Mincho"/>
          <w:lang w:val="en-US" w:eastAsia="ja-JP"/>
        </w:rPr>
        <w:t xml:space="preserve"> for which HARQ</w:t>
      </w:r>
      <w:r w:rsidR="00B171B4">
        <w:rPr>
          <w:rFonts w:eastAsia="MS Mincho"/>
          <w:lang w:val="en-US" w:eastAsia="ja-JP"/>
        </w:rPr>
        <w:t>-</w:t>
      </w:r>
      <w:r>
        <w:rPr>
          <w:rFonts w:eastAsia="MS Mincho"/>
          <w:lang w:val="en-US" w:eastAsia="ja-JP"/>
        </w:rPr>
        <w:t xml:space="preserve">ACK is reported in a certain </w:t>
      </w:r>
      <w:r w:rsidR="00AD57CD">
        <w:rPr>
          <w:rFonts w:eastAsia="MS Mincho"/>
          <w:lang w:val="en-US" w:eastAsia="ja-JP"/>
        </w:rPr>
        <w:t>UL slot</w:t>
      </w:r>
      <w:r>
        <w:rPr>
          <w:rFonts w:eastAsia="MS Mincho"/>
          <w:lang w:val="en-US" w:eastAsia="ja-JP"/>
        </w:rPr>
        <w:t xml:space="preserve">) should be flexible and not limited to a manageable subset of </w:t>
      </w:r>
      <w:r w:rsidR="009A42FE">
        <w:rPr>
          <w:rFonts w:eastAsia="MS Mincho"/>
          <w:lang w:val="en-US" w:eastAsia="ja-JP"/>
        </w:rPr>
        <w:t xml:space="preserve">predetermined </w:t>
      </w:r>
      <w:r>
        <w:rPr>
          <w:rFonts w:eastAsia="MS Mincho"/>
          <w:lang w:val="en-US" w:eastAsia="ja-JP"/>
        </w:rPr>
        <w:t>UL/DL con</w:t>
      </w:r>
      <w:r w:rsidR="009A42FE">
        <w:rPr>
          <w:rFonts w:eastAsia="MS Mincho"/>
          <w:lang w:val="en-US" w:eastAsia="ja-JP"/>
        </w:rPr>
        <w:t xml:space="preserve">figurations. </w:t>
      </w:r>
    </w:p>
    <w:p w14:paraId="61EC2846" w14:textId="0B06DAFD" w:rsidR="00DA30D2" w:rsidRDefault="00F94323" w:rsidP="0076017B">
      <w:pPr>
        <w:pStyle w:val="BodyText"/>
        <w:overflowPunct/>
        <w:autoSpaceDE/>
        <w:autoSpaceDN/>
        <w:adjustRightInd/>
        <w:jc w:val="both"/>
        <w:textAlignment w:val="auto"/>
        <w:rPr>
          <w:rFonts w:eastAsia="MS Mincho"/>
          <w:lang w:val="en-US" w:eastAsia="ja-JP"/>
        </w:rPr>
      </w:pPr>
      <w:r>
        <w:rPr>
          <w:rFonts w:eastAsia="MS Mincho"/>
          <w:lang w:val="en-US" w:eastAsia="ja-JP"/>
        </w:rPr>
        <w:t>One possible way is to determine HARQ</w:t>
      </w:r>
      <w:r w:rsidR="00B171B4">
        <w:rPr>
          <w:rFonts w:eastAsia="MS Mincho"/>
          <w:lang w:val="en-US" w:eastAsia="ja-JP"/>
        </w:rPr>
        <w:t>-</w:t>
      </w:r>
      <w:r>
        <w:rPr>
          <w:rFonts w:eastAsia="MS Mincho"/>
          <w:lang w:val="en-US" w:eastAsia="ja-JP"/>
        </w:rPr>
        <w:t>ACK codebook based on the number of configured HARQ processes and the number of configured or activated component carriers. This means that HARQ</w:t>
      </w:r>
      <w:r w:rsidR="00B171B4">
        <w:rPr>
          <w:rFonts w:eastAsia="MS Mincho"/>
          <w:lang w:val="en-US" w:eastAsia="ja-JP"/>
        </w:rPr>
        <w:t>-</w:t>
      </w:r>
      <w:r>
        <w:rPr>
          <w:rFonts w:eastAsia="MS Mincho"/>
          <w:lang w:val="en-US" w:eastAsia="ja-JP"/>
        </w:rPr>
        <w:t xml:space="preserve">ACK is transmitted for each </w:t>
      </w:r>
      <w:r w:rsidR="00B171B4">
        <w:rPr>
          <w:rFonts w:eastAsia="MS Mincho"/>
          <w:lang w:val="en-US" w:eastAsia="ja-JP"/>
        </w:rPr>
        <w:t xml:space="preserve">TB (or </w:t>
      </w:r>
      <w:r>
        <w:rPr>
          <w:rFonts w:eastAsia="MS Mincho"/>
          <w:lang w:val="en-US" w:eastAsia="ja-JP"/>
        </w:rPr>
        <w:t>CBG</w:t>
      </w:r>
      <w:r w:rsidR="00B171B4">
        <w:rPr>
          <w:rFonts w:eastAsia="MS Mincho"/>
          <w:lang w:val="en-US" w:eastAsia="ja-JP"/>
        </w:rPr>
        <w:t xml:space="preserve"> if CBG-based transmission is configured)</w:t>
      </w:r>
      <w:r>
        <w:rPr>
          <w:rFonts w:eastAsia="MS Mincho"/>
          <w:lang w:val="en-US" w:eastAsia="ja-JP"/>
        </w:rPr>
        <w:t xml:space="preserve"> on every HARQ process on every configured</w:t>
      </w:r>
      <w:r w:rsidR="00B171B4">
        <w:rPr>
          <w:rFonts w:eastAsia="MS Mincho"/>
          <w:lang w:val="en-US" w:eastAsia="ja-JP"/>
        </w:rPr>
        <w:t xml:space="preserve"> or activated</w:t>
      </w:r>
      <w:r>
        <w:rPr>
          <w:rFonts w:eastAsia="MS Mincho"/>
          <w:lang w:val="en-US" w:eastAsia="ja-JP"/>
        </w:rPr>
        <w:t xml:space="preserve"> component carrier every time UE reports any HARQ</w:t>
      </w:r>
      <w:r w:rsidR="00B171B4">
        <w:rPr>
          <w:rFonts w:eastAsia="MS Mincho"/>
          <w:lang w:val="en-US" w:eastAsia="ja-JP"/>
        </w:rPr>
        <w:t>-</w:t>
      </w:r>
      <w:r>
        <w:rPr>
          <w:rFonts w:eastAsia="MS Mincho"/>
          <w:lang w:val="en-US" w:eastAsia="ja-JP"/>
        </w:rPr>
        <w:t xml:space="preserve">ACK. As </w:t>
      </w:r>
      <w:r w:rsidR="00B171B4">
        <w:rPr>
          <w:rFonts w:eastAsia="MS Mincho"/>
          <w:lang w:val="en-US" w:eastAsia="ja-JP"/>
        </w:rPr>
        <w:t xml:space="preserve">a </w:t>
      </w:r>
      <w:r>
        <w:rPr>
          <w:rFonts w:eastAsia="MS Mincho"/>
          <w:lang w:val="en-US" w:eastAsia="ja-JP"/>
        </w:rPr>
        <w:t>UE may be configured with a considerable number of CBGs as well as component carriers</w:t>
      </w:r>
      <w:r w:rsidR="00E42239">
        <w:rPr>
          <w:rFonts w:eastAsia="MS Mincho"/>
          <w:lang w:val="en-US" w:eastAsia="ja-JP"/>
        </w:rPr>
        <w:t>, the resulting HARQ</w:t>
      </w:r>
      <w:r w:rsidR="00B171B4">
        <w:rPr>
          <w:rFonts w:eastAsia="MS Mincho"/>
          <w:lang w:val="en-US" w:eastAsia="ja-JP"/>
        </w:rPr>
        <w:t>-</w:t>
      </w:r>
      <w:r w:rsidR="00E42239">
        <w:rPr>
          <w:rFonts w:eastAsia="MS Mincho"/>
          <w:lang w:val="en-US" w:eastAsia="ja-JP"/>
        </w:rPr>
        <w:t>ACK codebook can be large and significantly over-dimensioned for most of HARQ feedback transmissions.</w:t>
      </w:r>
    </w:p>
    <w:p w14:paraId="6C320136" w14:textId="5D2B711D" w:rsidR="0017744D" w:rsidRPr="009A42FE" w:rsidRDefault="00E42239" w:rsidP="005E2A9F">
      <w:pPr>
        <w:jc w:val="both"/>
      </w:pPr>
      <w:r>
        <w:rPr>
          <w:rFonts w:eastAsia="MS Mincho"/>
          <w:lang w:val="en-US" w:eastAsia="ja-JP"/>
        </w:rPr>
        <w:t>On other hand, t</w:t>
      </w:r>
      <w:r w:rsidR="009A42FE">
        <w:rPr>
          <w:rFonts w:eastAsia="MS Mincho"/>
          <w:lang w:val="en-US" w:eastAsia="ja-JP"/>
        </w:rPr>
        <w:t xml:space="preserve">he determination of HARQ feedback can be based on a simple set of rules using few parameters such as the indicated </w:t>
      </w:r>
      <w:r w:rsidR="009A42FE" w:rsidRPr="009A42FE">
        <w:rPr>
          <w:rFonts w:eastAsia="MS Mincho"/>
          <w:lang w:val="en-US" w:eastAsia="ja-JP"/>
        </w:rPr>
        <w:t>t</w:t>
      </w:r>
      <w:r w:rsidR="009A42FE">
        <w:rPr>
          <w:rFonts w:eastAsia="MS Mincho"/>
          <w:lang w:val="en-US" w:eastAsia="ja-JP"/>
        </w:rPr>
        <w:t>iming between DL data</w:t>
      </w:r>
      <w:r w:rsidR="009A42FE" w:rsidRPr="009A42FE">
        <w:rPr>
          <w:rFonts w:eastAsia="MS Mincho"/>
          <w:lang w:val="en-US" w:eastAsia="ja-JP"/>
        </w:rPr>
        <w:t xml:space="preserve"> a</w:t>
      </w:r>
      <w:r w:rsidR="009A42FE">
        <w:rPr>
          <w:rFonts w:eastAsia="MS Mincho"/>
          <w:lang w:val="en-US" w:eastAsia="ja-JP"/>
        </w:rPr>
        <w:t>nd associated HARQ</w:t>
      </w:r>
      <w:r w:rsidR="001A300B">
        <w:rPr>
          <w:rFonts w:eastAsia="MS Mincho"/>
          <w:lang w:val="en-US" w:eastAsia="ja-JP"/>
        </w:rPr>
        <w:t>-</w:t>
      </w:r>
      <w:r w:rsidR="009A42FE">
        <w:rPr>
          <w:rFonts w:eastAsia="MS Mincho"/>
          <w:lang w:val="en-US" w:eastAsia="ja-JP"/>
        </w:rPr>
        <w:t>ACK as well as the minimum processing time between the DL data reception and transmission of associated HARQ</w:t>
      </w:r>
      <w:r w:rsidR="001A300B">
        <w:rPr>
          <w:rFonts w:eastAsia="MS Mincho"/>
          <w:lang w:val="en-US" w:eastAsia="ja-JP"/>
        </w:rPr>
        <w:t>-</w:t>
      </w:r>
      <w:r w:rsidR="009A42FE">
        <w:rPr>
          <w:rFonts w:eastAsia="MS Mincho"/>
          <w:lang w:val="en-US" w:eastAsia="ja-JP"/>
        </w:rPr>
        <w:t>ACK as inputs to the determination.</w:t>
      </w:r>
    </w:p>
    <w:p w14:paraId="5DBC4299" w14:textId="78B12AA3" w:rsidR="00AB16D3" w:rsidRPr="0055245B" w:rsidRDefault="00AB16D3" w:rsidP="000B0B00">
      <w:pPr>
        <w:ind w:left="1134" w:hanging="1134"/>
        <w:rPr>
          <w:b/>
          <w:i/>
        </w:rPr>
      </w:pPr>
      <w:r w:rsidRPr="00833822">
        <w:rPr>
          <w:b/>
          <w:i/>
        </w:rPr>
        <w:t>Proposal #1</w:t>
      </w:r>
      <w:r w:rsidR="00C0360A" w:rsidRPr="0055245B">
        <w:rPr>
          <w:b/>
          <w:i/>
        </w:rPr>
        <w:t xml:space="preserve">: </w:t>
      </w:r>
      <w:r w:rsidR="00A640C1" w:rsidRPr="0055245B">
        <w:rPr>
          <w:b/>
          <w:i/>
        </w:rPr>
        <w:t>Determination of DL association set</w:t>
      </w:r>
      <w:r w:rsidR="00106029" w:rsidRPr="0055245B">
        <w:rPr>
          <w:b/>
          <w:i/>
        </w:rPr>
        <w:t xml:space="preserve"> and codebook size</w:t>
      </w:r>
      <w:r w:rsidR="00A640C1" w:rsidRPr="0055245B">
        <w:rPr>
          <w:b/>
          <w:i/>
        </w:rPr>
        <w:t xml:space="preserve"> </w:t>
      </w:r>
      <w:r w:rsidR="00106029" w:rsidRPr="0055245B">
        <w:rPr>
          <w:b/>
          <w:i/>
        </w:rPr>
        <w:t xml:space="preserve">for HARQ feedback </w:t>
      </w:r>
      <w:r w:rsidR="00A640C1" w:rsidRPr="0055245B">
        <w:rPr>
          <w:b/>
          <w:i/>
        </w:rPr>
        <w:t xml:space="preserve">is </w:t>
      </w:r>
      <w:r w:rsidR="009A42FE" w:rsidRPr="0055245B">
        <w:rPr>
          <w:b/>
          <w:i/>
        </w:rPr>
        <w:t xml:space="preserve">flexible and </w:t>
      </w:r>
      <w:r w:rsidR="00A640C1" w:rsidRPr="0055245B">
        <w:rPr>
          <w:b/>
          <w:i/>
        </w:rPr>
        <w:t xml:space="preserve">based on the indicated </w:t>
      </w:r>
      <w:r w:rsidR="00A640C1" w:rsidRPr="0055245B">
        <w:rPr>
          <w:rFonts w:eastAsia="MS Mincho"/>
          <w:b/>
          <w:i/>
          <w:lang w:val="en-US" w:eastAsia="ja-JP"/>
        </w:rPr>
        <w:t>timing relationship between DL data reception and corresponding acknowledgement</w:t>
      </w:r>
      <w:r w:rsidR="00A640C1" w:rsidRPr="0055245B">
        <w:rPr>
          <w:b/>
          <w:i/>
        </w:rPr>
        <w:t>.</w:t>
      </w:r>
    </w:p>
    <w:p w14:paraId="683DB331" w14:textId="75159D9C" w:rsidR="00E61927" w:rsidRDefault="00E61927" w:rsidP="000B0B00">
      <w:pPr>
        <w:spacing w:after="120"/>
        <w:jc w:val="both"/>
      </w:pPr>
      <w:r>
        <w:rPr>
          <w:rFonts w:eastAsia="MS Mincho"/>
          <w:lang w:eastAsia="ja-JP"/>
        </w:rPr>
        <w:t xml:space="preserve">The codebook size determination is semi-static in the cases </w:t>
      </w:r>
      <w:r w:rsidR="00460C67">
        <w:rPr>
          <w:rFonts w:eastAsia="MS Mincho"/>
          <w:lang w:eastAsia="ja-JP"/>
        </w:rPr>
        <w:t>where the timing relationship between DL data and corresponding HARQ</w:t>
      </w:r>
      <w:r w:rsidR="001A300B">
        <w:rPr>
          <w:rFonts w:eastAsia="MS Mincho"/>
          <w:lang w:eastAsia="ja-JP"/>
        </w:rPr>
        <w:t>-</w:t>
      </w:r>
      <w:r w:rsidR="00460C67">
        <w:rPr>
          <w:rFonts w:eastAsia="MS Mincho"/>
          <w:lang w:eastAsia="ja-JP"/>
        </w:rPr>
        <w:t>ACK is determined</w:t>
      </w:r>
      <w:r>
        <w:rPr>
          <w:rFonts w:eastAsia="MS Mincho"/>
          <w:lang w:eastAsia="ja-JP"/>
        </w:rPr>
        <w:t xml:space="preserve"> semi-statically</w:t>
      </w:r>
      <w:r w:rsidR="002E086E">
        <w:rPr>
          <w:rFonts w:eastAsia="MS Mincho"/>
          <w:lang w:eastAsia="ja-JP"/>
        </w:rPr>
        <w:t>. FDD deployment is a simple example of a such case.</w:t>
      </w:r>
      <w:r w:rsidR="00DA30D2">
        <w:rPr>
          <w:rFonts w:eastAsia="MS Mincho"/>
          <w:lang w:eastAsia="ja-JP"/>
        </w:rPr>
        <w:t xml:space="preserve"> </w:t>
      </w:r>
      <w:r w:rsidR="00724005">
        <w:rPr>
          <w:rFonts w:eastAsia="MS Mincho"/>
          <w:lang w:val="en-US" w:eastAsia="ja-JP"/>
        </w:rPr>
        <w:t xml:space="preserve">In </w:t>
      </w:r>
      <w:r w:rsidR="00724005" w:rsidRPr="000C05FC">
        <w:rPr>
          <w:rFonts w:eastAsia="MS Mincho"/>
          <w:lang w:val="en-US" w:eastAsia="ja-JP"/>
        </w:rPr>
        <w:t xml:space="preserve">the case that </w:t>
      </w:r>
      <w:r w:rsidR="000C05FC" w:rsidRPr="000C05FC">
        <w:rPr>
          <w:rFonts w:eastAsia="MS Mincho"/>
          <w:lang w:val="en-US" w:eastAsia="ja-JP"/>
        </w:rPr>
        <w:t>the timing between DL data and associated HARQ</w:t>
      </w:r>
      <w:r w:rsidR="001A300B">
        <w:rPr>
          <w:rFonts w:eastAsia="MS Mincho"/>
          <w:lang w:val="en-US" w:eastAsia="ja-JP"/>
        </w:rPr>
        <w:t>-</w:t>
      </w:r>
      <w:r w:rsidR="000C05FC" w:rsidRPr="000C05FC">
        <w:rPr>
          <w:rFonts w:eastAsia="MS Mincho"/>
          <w:lang w:val="en-US" w:eastAsia="ja-JP"/>
        </w:rPr>
        <w:t xml:space="preserve">ACK is indicated dynamically by L1 signaling, </w:t>
      </w:r>
      <w:r w:rsidR="000C05FC" w:rsidRPr="000C05FC">
        <w:t xml:space="preserve">DL association set </w:t>
      </w:r>
      <w:r w:rsidR="00412857" w:rsidRPr="000C05FC">
        <w:rPr>
          <w:rFonts w:eastAsia="MS Mincho"/>
          <w:lang w:val="en-US" w:eastAsia="ja-JP"/>
        </w:rPr>
        <w:t xml:space="preserve">also </w:t>
      </w:r>
      <w:r w:rsidR="000C05FC">
        <w:t>need</w:t>
      </w:r>
      <w:r w:rsidR="0050442D">
        <w:t>s</w:t>
      </w:r>
      <w:r w:rsidR="000C05FC">
        <w:t xml:space="preserve"> to be determined dynamically. </w:t>
      </w:r>
      <w:r w:rsidR="0050442D">
        <w:t>Also the determination of HARQ</w:t>
      </w:r>
      <w:r w:rsidR="001A300B">
        <w:t>-</w:t>
      </w:r>
      <w:r w:rsidR="0050442D">
        <w:t>ACK codebook size can also be dynamic, but f</w:t>
      </w:r>
      <w:r>
        <w:t>or the cases where HARQ</w:t>
      </w:r>
      <w:r w:rsidR="001A300B">
        <w:t>-</w:t>
      </w:r>
      <w:r>
        <w:t xml:space="preserve">ACK codebook remains relatively small, e.g., below 12 bits, semi-statically configured codebook size with dynamically determined DL association set can also be </w:t>
      </w:r>
      <w:r w:rsidR="004C1EBA">
        <w:t>used</w:t>
      </w:r>
      <w:r>
        <w:t>.</w:t>
      </w:r>
      <w:r w:rsidR="00DA30D2">
        <w:t xml:space="preserve"> </w:t>
      </w:r>
    </w:p>
    <w:p w14:paraId="04D3B6FD" w14:textId="594C7077" w:rsidR="00E07538" w:rsidRDefault="004C1EBA" w:rsidP="0076017B">
      <w:pPr>
        <w:spacing w:after="60"/>
        <w:jc w:val="both"/>
      </w:pPr>
      <w:r>
        <w:t xml:space="preserve">An example on the dynamic determination of DL association set and, possibly, codebook size is illustrated in Figure 1 for single carrier. The DL association set for a HARQ feedback to be transmitted on certain slot can be </w:t>
      </w:r>
      <w:r w:rsidR="007F1A58">
        <w:t xml:space="preserve">determined based on </w:t>
      </w:r>
      <w:r w:rsidR="001A300B">
        <w:t>a few</w:t>
      </w:r>
      <w:r w:rsidR="007F1A58">
        <w:t xml:space="preserve"> simple rules:</w:t>
      </w:r>
    </w:p>
    <w:p w14:paraId="096A5C86" w14:textId="1528D61C" w:rsidR="004C1EBA" w:rsidRPr="00304D03" w:rsidRDefault="004C1EBA" w:rsidP="0076017B">
      <w:pPr>
        <w:pStyle w:val="ListParagraph"/>
        <w:numPr>
          <w:ilvl w:val="0"/>
          <w:numId w:val="17"/>
        </w:numPr>
        <w:spacing w:after="60"/>
        <w:jc w:val="both"/>
        <w:rPr>
          <w:lang w:val="en-US"/>
        </w:rPr>
      </w:pPr>
      <w:r w:rsidRPr="00304D03">
        <w:rPr>
          <w:sz w:val="20"/>
          <w:lang w:val="en-US"/>
        </w:rPr>
        <w:t>DL association se</w:t>
      </w:r>
      <w:r w:rsidRPr="000B0B00">
        <w:rPr>
          <w:sz w:val="20"/>
          <w:lang w:val="en-US"/>
        </w:rPr>
        <w:t xml:space="preserve">t starts from a slot where PDSCH is associated to UCI transmission in the certain slot for the first time. </w:t>
      </w:r>
      <w:r w:rsidR="00F96B68" w:rsidRPr="000B0B00">
        <w:rPr>
          <w:sz w:val="20"/>
          <w:lang w:val="en-US"/>
        </w:rPr>
        <w:t>In the Figure 1, this is the slot #3 for the UCI transmitted in slot #7.</w:t>
      </w:r>
    </w:p>
    <w:p w14:paraId="1C6E453C" w14:textId="64837CBD" w:rsidR="004C1EBA" w:rsidRPr="000B0B00" w:rsidRDefault="004C1EBA">
      <w:pPr>
        <w:pStyle w:val="ListParagraph"/>
        <w:numPr>
          <w:ilvl w:val="0"/>
          <w:numId w:val="17"/>
        </w:numPr>
        <w:spacing w:after="60"/>
        <w:jc w:val="both"/>
        <w:rPr>
          <w:lang w:val="en-US"/>
        </w:rPr>
      </w:pPr>
      <w:r w:rsidRPr="000B0B00">
        <w:rPr>
          <w:sz w:val="20"/>
          <w:lang w:val="en-US"/>
        </w:rPr>
        <w:t>The last slot of the DL association set is determined by the UE minimum (configured) processing time so that UE can prepare HARQ</w:t>
      </w:r>
      <w:r w:rsidR="001A300B">
        <w:rPr>
          <w:sz w:val="20"/>
          <w:lang w:val="en-US"/>
        </w:rPr>
        <w:t>-</w:t>
      </w:r>
      <w:r w:rsidRPr="000B0B00">
        <w:rPr>
          <w:sz w:val="20"/>
          <w:lang w:val="en-US"/>
        </w:rPr>
        <w:t>ACK in time</w:t>
      </w:r>
      <w:r w:rsidR="00F96B68" w:rsidRPr="000B0B00">
        <w:rPr>
          <w:sz w:val="20"/>
          <w:lang w:val="en-US"/>
        </w:rPr>
        <w:t>. In Figure 1, this is the slot #5 for the UCI transmitted in slot #7.</w:t>
      </w:r>
    </w:p>
    <w:p w14:paraId="2C640571" w14:textId="23555400" w:rsidR="004C1EBA" w:rsidRPr="000B0B00" w:rsidRDefault="004C1EBA" w:rsidP="00304D03">
      <w:pPr>
        <w:pStyle w:val="ListParagraph"/>
        <w:numPr>
          <w:ilvl w:val="0"/>
          <w:numId w:val="17"/>
        </w:numPr>
        <w:jc w:val="both"/>
        <w:rPr>
          <w:lang w:val="en-US"/>
        </w:rPr>
      </w:pPr>
      <w:r w:rsidRPr="00304D03">
        <w:rPr>
          <w:sz w:val="20"/>
          <w:lang w:val="en-US"/>
        </w:rPr>
        <w:t>HARQ</w:t>
      </w:r>
      <w:r w:rsidR="001A300B">
        <w:rPr>
          <w:sz w:val="20"/>
          <w:lang w:val="en-US"/>
        </w:rPr>
        <w:t>-</w:t>
      </w:r>
      <w:r w:rsidRPr="00304D03">
        <w:rPr>
          <w:sz w:val="20"/>
          <w:lang w:val="en-US"/>
        </w:rPr>
        <w:t>ACK is transmitted for all slots within the DL association set.</w:t>
      </w:r>
    </w:p>
    <w:p w14:paraId="583D86DD" w14:textId="1AA09A11" w:rsidR="00187E09" w:rsidRDefault="00664F2B" w:rsidP="000B0B00">
      <w:pPr>
        <w:jc w:val="center"/>
      </w:pPr>
      <w:r w:rsidRPr="00664F2B">
        <w:rPr>
          <w:noProof/>
          <w:lang w:val="en-US" w:eastAsia="zh-CN"/>
        </w:rPr>
        <w:lastRenderedPageBreak/>
        <w:drawing>
          <wp:inline distT="0" distB="0" distL="0" distR="0" wp14:anchorId="1BBDFAC8" wp14:editId="1E433C4B">
            <wp:extent cx="4618800" cy="1922400"/>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8800" cy="1922400"/>
                    </a:xfrm>
                    <a:prstGeom prst="rect">
                      <a:avLst/>
                    </a:prstGeom>
                    <a:noFill/>
                    <a:ln>
                      <a:noFill/>
                    </a:ln>
                  </pic:spPr>
                </pic:pic>
              </a:graphicData>
            </a:graphic>
          </wp:inline>
        </w:drawing>
      </w:r>
    </w:p>
    <w:p w14:paraId="763A54FF" w14:textId="7F1FE269" w:rsidR="004C1EBA" w:rsidRDefault="004C1EBA" w:rsidP="000B0B00">
      <w:pPr>
        <w:pStyle w:val="Caption"/>
        <w:jc w:val="center"/>
      </w:pPr>
      <w:r>
        <w:t xml:space="preserve">Figure </w:t>
      </w:r>
      <w:r>
        <w:fldChar w:fldCharType="begin"/>
      </w:r>
      <w:r>
        <w:instrText xml:space="preserve"> SEQ Figure \* ARABIC </w:instrText>
      </w:r>
      <w:r>
        <w:fldChar w:fldCharType="separate"/>
      </w:r>
      <w:r w:rsidR="003D091B">
        <w:rPr>
          <w:noProof/>
        </w:rPr>
        <w:t>1</w:t>
      </w:r>
      <w:r>
        <w:fldChar w:fldCharType="end"/>
      </w:r>
      <w:r>
        <w:t>. Dynamic determination of DL association set based on the indicated HARQ-ACK timing offset.</w:t>
      </w:r>
    </w:p>
    <w:p w14:paraId="1310BBE5" w14:textId="5A592E2B" w:rsidR="00724005" w:rsidRDefault="000C05FC" w:rsidP="000B0B00">
      <w:pPr>
        <w:spacing w:after="120"/>
        <w:jc w:val="both"/>
      </w:pPr>
      <w:r>
        <w:t>Dynamic determination of HARQ</w:t>
      </w:r>
      <w:r w:rsidR="001A300B">
        <w:t>-</w:t>
      </w:r>
      <w:r w:rsidR="00AD57CD">
        <w:t xml:space="preserve">ACK </w:t>
      </w:r>
      <w:r>
        <w:t xml:space="preserve">codebook involves inevitable error cases. </w:t>
      </w:r>
      <w:r w:rsidR="00AD57CD">
        <w:t>For example, missing DL grant for the first DL slot to be included in the HARQ</w:t>
      </w:r>
      <w:r w:rsidR="001A300B">
        <w:t>-</w:t>
      </w:r>
      <w:r w:rsidR="00AD57CD">
        <w:t>ACK codebook may lead, depending on the design, erroneous ordering of HARQ</w:t>
      </w:r>
      <w:r w:rsidR="001A300B">
        <w:t>-</w:t>
      </w:r>
      <w:r w:rsidR="00AD57CD">
        <w:t>ACK bits or erroneous HARQ</w:t>
      </w:r>
      <w:r w:rsidR="001A300B">
        <w:t>-ACK</w:t>
      </w:r>
      <w:r w:rsidR="00AD57CD">
        <w:t xml:space="preserve"> codebook size. Obviously, appropriate </w:t>
      </w:r>
      <w:r w:rsidR="00AD57CD" w:rsidRPr="005E2A9F">
        <w:t>mechanisms, such as counter DAI in LTE, to mitigate such error cases</w:t>
      </w:r>
      <w:r w:rsidR="005E2A9F" w:rsidRPr="005E2A9F">
        <w:t xml:space="preserve"> need to be employed with dynamic DL association set and HARQ</w:t>
      </w:r>
      <w:r w:rsidR="001A300B">
        <w:t>-</w:t>
      </w:r>
      <w:r w:rsidR="005E2A9F" w:rsidRPr="005E2A9F">
        <w:t>ACK codebook size determination.</w:t>
      </w:r>
      <w:r w:rsidR="00664F2B">
        <w:t xml:space="preserve"> It can be noted that if the last slot of DL association set is determined based on the UE minimum (configured) processing time, there is no error case related to the missing the DL grant for the last </w:t>
      </w:r>
      <w:r w:rsidR="0050442D">
        <w:t xml:space="preserve">DL </w:t>
      </w:r>
      <w:r w:rsidR="00664F2B">
        <w:t xml:space="preserve">slot to be </w:t>
      </w:r>
      <w:r w:rsidR="006C6A19">
        <w:t>included in the HARQ</w:t>
      </w:r>
      <w:r w:rsidR="001A300B">
        <w:t>-</w:t>
      </w:r>
      <w:r w:rsidR="006C6A19">
        <w:t>ACK codebook.</w:t>
      </w:r>
    </w:p>
    <w:p w14:paraId="35F7AB4E" w14:textId="2BC277F3" w:rsidR="006C6A19" w:rsidRDefault="006C6A19" w:rsidP="000B0B00">
      <w:pPr>
        <w:spacing w:after="0"/>
        <w:jc w:val="both"/>
      </w:pPr>
      <w:r>
        <w:t>The use of counter DAI to determine the first slot of DL association set is</w:t>
      </w:r>
      <w:r w:rsidR="00664F2B">
        <w:t xml:space="preserve"> illustrated in Figure 2</w:t>
      </w:r>
      <w:r>
        <w:t xml:space="preserve"> for single carrier</w:t>
      </w:r>
      <w:r w:rsidR="00664F2B">
        <w:t>.</w:t>
      </w:r>
      <w:r w:rsidR="00AB53B7">
        <w:t xml:space="preserve"> In the figure, UE misses the DL grant on slot #3. However, UE </w:t>
      </w:r>
      <w:r w:rsidR="002E5B06">
        <w:t>can</w:t>
      </w:r>
      <w:r w:rsidR="00AB53B7">
        <w:t xml:space="preserve"> </w:t>
      </w:r>
      <w:r w:rsidR="002E5B06">
        <w:t xml:space="preserve">correctly </w:t>
      </w:r>
      <w:r w:rsidR="00AB53B7">
        <w:t>determine the firs</w:t>
      </w:r>
      <w:r w:rsidR="002E5B06">
        <w:t>t</w:t>
      </w:r>
      <w:r w:rsidR="00AB53B7">
        <w:t xml:space="preserve"> slot of DL associatio</w:t>
      </w:r>
      <w:r w:rsidR="002E5B06">
        <w:t xml:space="preserve">n set </w:t>
      </w:r>
      <w:r w:rsidR="00AB53B7">
        <w:t>based on the counter DAI that it receives in slot #5. As the DL association set contains</w:t>
      </w:r>
      <w:r w:rsidR="0050442D">
        <w:t xml:space="preserve"> in the example</w:t>
      </w:r>
      <w:r w:rsidR="00AB53B7">
        <w:t xml:space="preserve"> all slots from the start of DL association set, the counter DAI is incremented per slot instead of being incremented per slot that is actually scheduled for the UE.</w:t>
      </w:r>
      <w:r>
        <w:t xml:space="preserve"> </w:t>
      </w:r>
      <w:r w:rsidR="00F3517C">
        <w:t>As an a</w:t>
      </w:r>
      <w:r w:rsidR="0077536D">
        <w:t>lternative</w:t>
      </w:r>
      <w:r w:rsidR="00AB53B7">
        <w:t xml:space="preserve"> to the use of counter DAI</w:t>
      </w:r>
      <w:r>
        <w:t>, the</w:t>
      </w:r>
      <w:bookmarkStart w:id="0" w:name="_GoBack"/>
      <w:bookmarkEnd w:id="0"/>
      <w:r>
        <w:t xml:space="preserve"> first slot of DL association set can </w:t>
      </w:r>
      <w:r w:rsidR="00AB53B7">
        <w:t xml:space="preserve">also </w:t>
      </w:r>
      <w:r>
        <w:t xml:space="preserve">be determined based on the combination of counter DAI and total DAI. </w:t>
      </w:r>
    </w:p>
    <w:p w14:paraId="2FF85243" w14:textId="03E414B4" w:rsidR="006C6A19" w:rsidRDefault="006C6A19" w:rsidP="000B0B00">
      <w:pPr>
        <w:jc w:val="center"/>
      </w:pPr>
      <w:r w:rsidRPr="006C6A19">
        <w:rPr>
          <w:noProof/>
          <w:lang w:val="en-US" w:eastAsia="zh-CN"/>
        </w:rPr>
        <w:drawing>
          <wp:inline distT="0" distB="0" distL="0" distR="0" wp14:anchorId="1C276C92" wp14:editId="0AEDA75A">
            <wp:extent cx="4626000" cy="1990800"/>
            <wp:effectExtent l="0" t="0" r="317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6000" cy="1990800"/>
                    </a:xfrm>
                    <a:prstGeom prst="rect">
                      <a:avLst/>
                    </a:prstGeom>
                    <a:noFill/>
                    <a:ln>
                      <a:noFill/>
                    </a:ln>
                  </pic:spPr>
                </pic:pic>
              </a:graphicData>
            </a:graphic>
          </wp:inline>
        </w:drawing>
      </w:r>
    </w:p>
    <w:p w14:paraId="4AABCFDD" w14:textId="50B8C4B4" w:rsidR="00833C94" w:rsidRPr="000C05FC" w:rsidRDefault="006C6A19" w:rsidP="000B0B00">
      <w:pPr>
        <w:pStyle w:val="Caption"/>
        <w:jc w:val="center"/>
      </w:pPr>
      <w:r>
        <w:t xml:space="preserve">Figure </w:t>
      </w:r>
      <w:r>
        <w:fldChar w:fldCharType="begin"/>
      </w:r>
      <w:r>
        <w:instrText xml:space="preserve"> SEQ Figure \* ARABIC </w:instrText>
      </w:r>
      <w:r>
        <w:fldChar w:fldCharType="separate"/>
      </w:r>
      <w:r w:rsidR="003D091B">
        <w:rPr>
          <w:noProof/>
        </w:rPr>
        <w:t>2</w:t>
      </w:r>
      <w:r>
        <w:fldChar w:fldCharType="end"/>
      </w:r>
      <w:r>
        <w:t>. Dynamic determination of DL association set based on the indicated HARQ-ACK timing offset.</w:t>
      </w:r>
      <w:r w:rsidR="00664F2B">
        <w:t xml:space="preserve"> </w:t>
      </w:r>
    </w:p>
    <w:p w14:paraId="62687586" w14:textId="4923864D" w:rsidR="009376C2" w:rsidRPr="0055245B" w:rsidRDefault="009376C2" w:rsidP="000B0B00">
      <w:pPr>
        <w:spacing w:before="240"/>
        <w:ind w:left="1134" w:hanging="1134"/>
        <w:rPr>
          <w:b/>
          <w:i/>
        </w:rPr>
      </w:pPr>
      <w:r w:rsidRPr="00316161">
        <w:rPr>
          <w:b/>
          <w:i/>
        </w:rPr>
        <w:t xml:space="preserve">Proposal #2: </w:t>
      </w:r>
      <w:r w:rsidRPr="00943648">
        <w:rPr>
          <w:b/>
          <w:i/>
        </w:rPr>
        <w:t xml:space="preserve">DL association set </w:t>
      </w:r>
      <w:r>
        <w:rPr>
          <w:b/>
          <w:i/>
        </w:rPr>
        <w:t>is</w:t>
      </w:r>
      <w:r w:rsidRPr="00943648">
        <w:rPr>
          <w:b/>
          <w:i/>
        </w:rPr>
        <w:t xml:space="preserve"> dynamically determined in the case of dynamically indicated </w:t>
      </w:r>
      <w:r w:rsidRPr="0055245B">
        <w:rPr>
          <w:b/>
          <w:i/>
        </w:rPr>
        <w:t>timing relationship between DL data reception and corresponding acknowledgement.</w:t>
      </w:r>
      <w:r>
        <w:rPr>
          <w:b/>
          <w:i/>
        </w:rPr>
        <w:t xml:space="preserve"> Dynamic determination of HARQ</w:t>
      </w:r>
      <w:r w:rsidR="008C7FA1">
        <w:rPr>
          <w:b/>
          <w:i/>
        </w:rPr>
        <w:t>-ACK</w:t>
      </w:r>
      <w:r>
        <w:rPr>
          <w:b/>
          <w:i/>
        </w:rPr>
        <w:t xml:space="preserve"> codebook size is supported. </w:t>
      </w:r>
    </w:p>
    <w:p w14:paraId="05434F60" w14:textId="2A4D056F" w:rsidR="00A640C1" w:rsidRPr="0055245B" w:rsidRDefault="00664F2B" w:rsidP="000B0B00">
      <w:pPr>
        <w:ind w:left="1134" w:hanging="1134"/>
        <w:rPr>
          <w:b/>
          <w:i/>
        </w:rPr>
      </w:pPr>
      <w:r>
        <w:rPr>
          <w:b/>
          <w:i/>
          <w:lang w:val="en-US"/>
        </w:rPr>
        <w:t>Proposal</w:t>
      </w:r>
      <w:r w:rsidR="005E2A9F" w:rsidRPr="00833822">
        <w:rPr>
          <w:b/>
          <w:i/>
        </w:rPr>
        <w:t xml:space="preserve"> #</w:t>
      </w:r>
      <w:r>
        <w:rPr>
          <w:b/>
          <w:i/>
        </w:rPr>
        <w:t>3</w:t>
      </w:r>
      <w:r w:rsidR="005E2A9F" w:rsidRPr="0055245B">
        <w:rPr>
          <w:b/>
          <w:i/>
        </w:rPr>
        <w:t>: Appropriate mechanisms, such as counter DAI, to mitigate error cases related to the dynamic determination of DL association set and HARQ</w:t>
      </w:r>
      <w:r w:rsidR="008C7FA1">
        <w:rPr>
          <w:b/>
          <w:i/>
        </w:rPr>
        <w:t>-</w:t>
      </w:r>
      <w:r w:rsidR="005E2A9F" w:rsidRPr="0055245B">
        <w:rPr>
          <w:b/>
          <w:i/>
        </w:rPr>
        <w:t xml:space="preserve">ACK codebook size </w:t>
      </w:r>
      <w:r>
        <w:rPr>
          <w:b/>
          <w:i/>
        </w:rPr>
        <w:t>are supported</w:t>
      </w:r>
      <w:r w:rsidR="005E2A9F" w:rsidRPr="00664F2B">
        <w:rPr>
          <w:b/>
          <w:i/>
        </w:rPr>
        <w:t>.</w:t>
      </w:r>
    </w:p>
    <w:p w14:paraId="0E7AB4B7" w14:textId="67D636AF" w:rsidR="002E086E" w:rsidRDefault="0003707E" w:rsidP="000B0B00">
      <w:pPr>
        <w:spacing w:before="240" w:after="120"/>
        <w:jc w:val="both"/>
        <w:rPr>
          <w:rFonts w:eastAsia="MS Mincho"/>
          <w:lang w:val="en-US" w:eastAsia="ja-JP"/>
        </w:rPr>
      </w:pPr>
      <w:r>
        <w:rPr>
          <w:rFonts w:eastAsia="MS Mincho"/>
          <w:lang w:val="en-US" w:eastAsia="ja-JP"/>
        </w:rPr>
        <w:t>In previous discussion, the DL association set and HARQ</w:t>
      </w:r>
      <w:r w:rsidR="008C7FA1">
        <w:rPr>
          <w:rFonts w:eastAsia="MS Mincho"/>
          <w:lang w:val="en-US" w:eastAsia="ja-JP"/>
        </w:rPr>
        <w:t>-</w:t>
      </w:r>
      <w:r>
        <w:rPr>
          <w:rFonts w:eastAsia="MS Mincho"/>
          <w:lang w:val="en-US" w:eastAsia="ja-JP"/>
        </w:rPr>
        <w:t>ACK codebook size were determined per carrier. That approach can be used when UE has single</w:t>
      </w:r>
      <w:r w:rsidR="002E086E">
        <w:rPr>
          <w:rFonts w:eastAsia="MS Mincho"/>
          <w:lang w:val="en-US" w:eastAsia="ja-JP"/>
        </w:rPr>
        <w:t xml:space="preserve"> DL carrier configured or active, or when UE is configured with equal number of DL and UL component carriers.</w:t>
      </w:r>
      <w:r>
        <w:rPr>
          <w:rFonts w:eastAsia="MS Mincho"/>
          <w:lang w:val="en-US" w:eastAsia="ja-JP"/>
        </w:rPr>
        <w:t xml:space="preserve"> </w:t>
      </w:r>
    </w:p>
    <w:p w14:paraId="68A64095" w14:textId="5A7F8166" w:rsidR="0076017B" w:rsidRDefault="002E086E" w:rsidP="000B0B00">
      <w:pPr>
        <w:spacing w:after="60"/>
        <w:jc w:val="both"/>
        <w:rPr>
          <w:rFonts w:eastAsia="MS Mincho"/>
          <w:lang w:val="en-US" w:eastAsia="ja-JP"/>
        </w:rPr>
      </w:pPr>
      <w:r>
        <w:rPr>
          <w:rFonts w:eastAsia="MS Mincho"/>
          <w:lang w:val="en-US" w:eastAsia="ja-JP"/>
        </w:rPr>
        <w:t>However, t</w:t>
      </w:r>
      <w:r w:rsidR="0003707E">
        <w:rPr>
          <w:rFonts w:eastAsia="MS Mincho"/>
          <w:lang w:val="en-US" w:eastAsia="ja-JP"/>
        </w:rPr>
        <w:t>he same approach can be applied also in the case when HARQ</w:t>
      </w:r>
      <w:r w:rsidR="008C7FA1">
        <w:rPr>
          <w:rFonts w:eastAsia="MS Mincho"/>
          <w:lang w:val="en-US" w:eastAsia="ja-JP"/>
        </w:rPr>
        <w:t>-</w:t>
      </w:r>
      <w:r w:rsidR="0003707E">
        <w:rPr>
          <w:rFonts w:eastAsia="MS Mincho"/>
          <w:lang w:val="en-US" w:eastAsia="ja-JP"/>
        </w:rPr>
        <w:t>ACK for multiple DL</w:t>
      </w:r>
      <w:r>
        <w:rPr>
          <w:rFonts w:eastAsia="MS Mincho"/>
          <w:lang w:val="en-US" w:eastAsia="ja-JP"/>
        </w:rPr>
        <w:t xml:space="preserve"> component</w:t>
      </w:r>
      <w:r w:rsidR="0003707E">
        <w:rPr>
          <w:rFonts w:eastAsia="MS Mincho"/>
          <w:lang w:val="en-US" w:eastAsia="ja-JP"/>
        </w:rPr>
        <w:t xml:space="preserve"> carriers is transmitted via single UL carrier: HARQ feedback (including DL assoc</w:t>
      </w:r>
      <w:r>
        <w:rPr>
          <w:rFonts w:eastAsia="MS Mincho"/>
          <w:lang w:val="en-US" w:eastAsia="ja-JP"/>
        </w:rPr>
        <w:t>iation set and codebook size) can be</w:t>
      </w:r>
      <w:r w:rsidR="0003707E">
        <w:rPr>
          <w:rFonts w:eastAsia="MS Mincho"/>
          <w:lang w:val="en-US" w:eastAsia="ja-JP"/>
        </w:rPr>
        <w:t xml:space="preserve"> determined separately for each DL carrier. </w:t>
      </w:r>
      <w:r w:rsidR="00B04478">
        <w:rPr>
          <w:rFonts w:eastAsia="MS Mincho"/>
          <w:lang w:val="en-US" w:eastAsia="ja-JP"/>
        </w:rPr>
        <w:t>The resulting HARQ-</w:t>
      </w:r>
      <w:r>
        <w:rPr>
          <w:rFonts w:eastAsia="MS Mincho"/>
          <w:lang w:val="en-US" w:eastAsia="ja-JP"/>
        </w:rPr>
        <w:t xml:space="preserve">ACK codebooks are then concatenated for joint encoding and transmission. In such approach, </w:t>
      </w:r>
      <w:r w:rsidR="0076017B">
        <w:rPr>
          <w:rFonts w:eastAsia="MS Mincho"/>
          <w:lang w:val="en-US" w:eastAsia="ja-JP"/>
        </w:rPr>
        <w:t xml:space="preserve">special attention needs to </w:t>
      </w:r>
      <w:r w:rsidR="008C7FA1">
        <w:rPr>
          <w:rFonts w:eastAsia="MS Mincho"/>
          <w:lang w:val="en-US" w:eastAsia="ja-JP"/>
        </w:rPr>
        <w:t xml:space="preserve">be </w:t>
      </w:r>
      <w:r w:rsidR="0076017B">
        <w:rPr>
          <w:rFonts w:eastAsia="MS Mincho"/>
          <w:lang w:val="en-US" w:eastAsia="ja-JP"/>
        </w:rPr>
        <w:t xml:space="preserve">paid to the error case that can occur when UE is scheduled with only one PDSCH on one of the DL component carriers. </w:t>
      </w:r>
      <w:r w:rsidR="00FA1666">
        <w:rPr>
          <w:rFonts w:eastAsia="MS Mincho"/>
          <w:lang w:val="en-US" w:eastAsia="ja-JP"/>
        </w:rPr>
        <w:t>If UE misses that DL grant, it will determine wrongly the HARQ</w:t>
      </w:r>
      <w:r w:rsidR="008C7FA1">
        <w:rPr>
          <w:rFonts w:eastAsia="MS Mincho"/>
          <w:lang w:val="en-US" w:eastAsia="ja-JP"/>
        </w:rPr>
        <w:t>-</w:t>
      </w:r>
      <w:r w:rsidR="00B04478">
        <w:rPr>
          <w:rFonts w:eastAsia="MS Mincho"/>
          <w:lang w:val="en-US" w:eastAsia="ja-JP"/>
        </w:rPr>
        <w:t>ACK locations in the HARQ-</w:t>
      </w:r>
      <w:r w:rsidR="00FA1666">
        <w:rPr>
          <w:rFonts w:eastAsia="MS Mincho"/>
          <w:lang w:val="en-US" w:eastAsia="ja-JP"/>
        </w:rPr>
        <w:t xml:space="preserve">ACK codebook. This is illustrated in Figure 3, where UE misses DL grant on DL </w:t>
      </w:r>
      <w:r w:rsidR="00FA1666">
        <w:rPr>
          <w:rFonts w:eastAsia="MS Mincho"/>
          <w:lang w:val="en-US" w:eastAsia="ja-JP"/>
        </w:rPr>
        <w:lastRenderedPageBreak/>
        <w:t>CC #2 for slot #2. The error can lead to failure in HARQ feedback detection or even to NACK-to-ACK error.</w:t>
      </w:r>
      <w:r w:rsidR="0076017B">
        <w:rPr>
          <w:rFonts w:eastAsia="MS Mincho"/>
          <w:lang w:val="en-US" w:eastAsia="ja-JP"/>
        </w:rPr>
        <w:t xml:space="preserve"> </w:t>
      </w:r>
      <w:r w:rsidR="00501BBF">
        <w:rPr>
          <w:rFonts w:eastAsia="MS Mincho"/>
          <w:lang w:val="en-US" w:eastAsia="ja-JP"/>
        </w:rPr>
        <w:t>This error case can be simply</w:t>
      </w:r>
      <w:r w:rsidR="0076017B">
        <w:rPr>
          <w:rFonts w:eastAsia="MS Mincho"/>
          <w:lang w:val="en-US" w:eastAsia="ja-JP"/>
        </w:rPr>
        <w:t xml:space="preserve"> solved e.g. by </w:t>
      </w:r>
    </w:p>
    <w:p w14:paraId="3C65C5FF" w14:textId="7DD59096" w:rsidR="009D6F6C" w:rsidRPr="000B0B00" w:rsidRDefault="003D091B" w:rsidP="000B0B00">
      <w:pPr>
        <w:pStyle w:val="ListParagraph"/>
        <w:numPr>
          <w:ilvl w:val="0"/>
          <w:numId w:val="18"/>
        </w:numPr>
        <w:spacing w:after="60"/>
        <w:ind w:left="714" w:hanging="357"/>
        <w:jc w:val="both"/>
        <w:rPr>
          <w:rFonts w:eastAsia="MS Mincho"/>
          <w:b/>
          <w:i/>
          <w:lang w:val="en-US" w:eastAsia="ja-JP"/>
        </w:rPr>
      </w:pPr>
      <w:r>
        <w:rPr>
          <w:sz w:val="20"/>
          <w:lang w:val="en-US"/>
        </w:rPr>
        <w:t>A</w:t>
      </w:r>
      <w:r w:rsidR="0076017B" w:rsidRPr="000B0B00">
        <w:rPr>
          <w:sz w:val="20"/>
          <w:lang w:val="en-US"/>
        </w:rPr>
        <w:t xml:space="preserve"> minimum HARQ</w:t>
      </w:r>
      <w:r w:rsidR="00592B2D">
        <w:rPr>
          <w:sz w:val="20"/>
          <w:lang w:val="en-US"/>
        </w:rPr>
        <w:t>-</w:t>
      </w:r>
      <w:r w:rsidR="0076017B" w:rsidRPr="000B0B00">
        <w:rPr>
          <w:sz w:val="20"/>
          <w:lang w:val="en-US"/>
        </w:rPr>
        <w:t>ACK codebook size</w:t>
      </w:r>
      <w:r w:rsidR="00501BBF" w:rsidRPr="000B0B00">
        <w:rPr>
          <w:sz w:val="20"/>
          <w:lang w:val="en-US"/>
        </w:rPr>
        <w:t xml:space="preserve"> is set for all DL component carriers, including also configured/active DL component carriers that were not scheduled. </w:t>
      </w:r>
      <w:r w:rsidR="00501BBF">
        <w:rPr>
          <w:sz w:val="20"/>
          <w:lang w:val="en-US"/>
        </w:rPr>
        <w:t>Although this approach leads to unnecessary transmission of NACKs when a DL component carrier is not scheduled, the drawback can be expected to be minimal: the PUCCH resource is dimensioned in the configuration to successfully carry even larger HARQ feedback sizes.</w:t>
      </w:r>
    </w:p>
    <w:p w14:paraId="6A3004E2" w14:textId="6CFADF6D" w:rsidR="0076017B" w:rsidRPr="000B0B00" w:rsidRDefault="00501BBF" w:rsidP="000B0B00">
      <w:pPr>
        <w:pStyle w:val="ListParagraph"/>
        <w:numPr>
          <w:ilvl w:val="0"/>
          <w:numId w:val="18"/>
        </w:numPr>
        <w:spacing w:before="240" w:after="120"/>
        <w:ind w:left="714" w:hanging="357"/>
        <w:jc w:val="both"/>
        <w:rPr>
          <w:rFonts w:eastAsia="MS Mincho"/>
          <w:b/>
          <w:i/>
          <w:lang w:val="en-US" w:eastAsia="ja-JP"/>
        </w:rPr>
      </w:pPr>
      <w:r>
        <w:rPr>
          <w:rFonts w:eastAsia="MS Mincho"/>
          <w:sz w:val="20"/>
          <w:lang w:val="en-US" w:eastAsia="ja-JP"/>
        </w:rPr>
        <w:t>Another alternative is to apply the largest determined codebook size for all DL component carriers. This results in even larger amount of unnecessary NACKs transmitted.</w:t>
      </w:r>
    </w:p>
    <w:p w14:paraId="6F5A3C2D" w14:textId="07257FE9" w:rsidR="003D091B" w:rsidRPr="000B0B00" w:rsidRDefault="003D091B" w:rsidP="000B0B00">
      <w:pPr>
        <w:pStyle w:val="ListParagraph"/>
        <w:numPr>
          <w:ilvl w:val="0"/>
          <w:numId w:val="18"/>
        </w:numPr>
        <w:spacing w:before="240"/>
        <w:ind w:left="714" w:hanging="357"/>
        <w:jc w:val="both"/>
        <w:rPr>
          <w:rFonts w:eastAsia="MS Mincho"/>
          <w:b/>
          <w:i/>
          <w:lang w:val="en-US" w:eastAsia="ja-JP"/>
        </w:rPr>
      </w:pPr>
      <w:r>
        <w:rPr>
          <w:rFonts w:eastAsia="MS Mincho"/>
          <w:sz w:val="20"/>
          <w:lang w:val="en-US" w:eastAsia="ja-JP"/>
        </w:rPr>
        <w:t>Use of semi-static HARQ codebook size</w:t>
      </w:r>
      <w:r w:rsidR="00D27530">
        <w:rPr>
          <w:rFonts w:eastAsia="MS Mincho"/>
          <w:sz w:val="20"/>
          <w:lang w:val="en-US" w:eastAsia="ja-JP"/>
        </w:rPr>
        <w:t>.</w:t>
      </w:r>
      <w:r w:rsidR="00D27530" w:rsidRPr="00D27530">
        <w:rPr>
          <w:rFonts w:eastAsia="MS Mincho"/>
          <w:sz w:val="20"/>
          <w:lang w:val="en-US" w:eastAsia="ja-JP"/>
        </w:rPr>
        <w:t xml:space="preserve"> </w:t>
      </w:r>
      <w:r w:rsidR="00D27530">
        <w:rPr>
          <w:rFonts w:eastAsia="MS Mincho"/>
          <w:sz w:val="20"/>
          <w:lang w:val="en-US" w:eastAsia="ja-JP"/>
        </w:rPr>
        <w:t>This can results in transmission of large amount of unnecessary NACKs, so the use of semi-static HARQ codebook size may be limited</w:t>
      </w:r>
      <w:r w:rsidR="00D27530" w:rsidRPr="000B0B00">
        <w:rPr>
          <w:rFonts w:eastAsia="MS Mincho"/>
          <w:sz w:val="20"/>
          <w:lang w:val="en-US" w:eastAsia="ja-JP"/>
        </w:rPr>
        <w:t xml:space="preserve"> to </w:t>
      </w:r>
      <w:r w:rsidR="004C4C58" w:rsidRPr="000B0B00">
        <w:rPr>
          <w:rFonts w:eastAsia="MS Mincho"/>
          <w:sz w:val="20"/>
          <w:lang w:val="en-US" w:eastAsia="ja-JP"/>
        </w:rPr>
        <w:t>relatively small HARQ feedback</w:t>
      </w:r>
      <w:r w:rsidRPr="000B0B00">
        <w:rPr>
          <w:rFonts w:eastAsia="MS Mincho"/>
          <w:sz w:val="20"/>
          <w:lang w:val="en-US" w:eastAsia="ja-JP"/>
        </w:rPr>
        <w:t xml:space="preserve"> sizes.</w:t>
      </w:r>
    </w:p>
    <w:p w14:paraId="11BCFE99" w14:textId="7517187B" w:rsidR="003D091B" w:rsidRDefault="00FA1666" w:rsidP="000B0B00">
      <w:pPr>
        <w:pStyle w:val="Caption"/>
        <w:jc w:val="center"/>
      </w:pPr>
      <w:r w:rsidRPr="009540A8">
        <w:rPr>
          <w:noProof/>
          <w:lang w:val="en-US" w:eastAsia="zh-CN"/>
        </w:rPr>
        <w:drawing>
          <wp:inline distT="0" distB="0" distL="0" distR="0" wp14:anchorId="1213143B" wp14:editId="5A39EE80">
            <wp:extent cx="5432400" cy="181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2400" cy="1818000"/>
                    </a:xfrm>
                    <a:prstGeom prst="rect">
                      <a:avLst/>
                    </a:prstGeom>
                    <a:noFill/>
                    <a:ln>
                      <a:noFill/>
                    </a:ln>
                  </pic:spPr>
                </pic:pic>
              </a:graphicData>
            </a:graphic>
          </wp:inline>
        </w:drawing>
      </w:r>
    </w:p>
    <w:p w14:paraId="5B4FAD3F" w14:textId="60C04AE0" w:rsidR="003D091B" w:rsidRDefault="003D091B" w:rsidP="000B0B00">
      <w:pPr>
        <w:pStyle w:val="Caption"/>
        <w:spacing w:after="240"/>
        <w:jc w:val="center"/>
        <w:rPr>
          <w:rFonts w:eastAsia="MS Mincho"/>
          <w:lang w:val="en-US" w:eastAsia="ja-JP"/>
        </w:rPr>
      </w:pPr>
      <w:r>
        <w:t xml:space="preserve">Figure </w:t>
      </w:r>
      <w:r>
        <w:fldChar w:fldCharType="begin"/>
      </w:r>
      <w:r>
        <w:instrText xml:space="preserve"> SEQ Figure \* ARABIC </w:instrText>
      </w:r>
      <w:r>
        <w:fldChar w:fldCharType="separate"/>
      </w:r>
      <w:r>
        <w:rPr>
          <w:noProof/>
        </w:rPr>
        <w:t>3</w:t>
      </w:r>
      <w:r>
        <w:fldChar w:fldCharType="end"/>
      </w:r>
      <w:r>
        <w:t>.</w:t>
      </w:r>
      <w:r w:rsidR="00B04478">
        <w:t xml:space="preserve"> Error in HARQ-</w:t>
      </w:r>
      <w:r w:rsidR="00D27530">
        <w:t>ACK codebook size determination caused by missed DL grant.</w:t>
      </w:r>
    </w:p>
    <w:p w14:paraId="4FB22BF0" w14:textId="2421D508" w:rsidR="0050442D" w:rsidRDefault="0050442D" w:rsidP="0050442D">
      <w:pPr>
        <w:jc w:val="both"/>
        <w:rPr>
          <w:rFonts w:eastAsia="MS Mincho"/>
          <w:lang w:val="en-US" w:eastAsia="ja-JP"/>
        </w:rPr>
      </w:pPr>
      <w:r>
        <w:rPr>
          <w:rFonts w:eastAsia="MS Mincho"/>
          <w:lang w:val="en-US" w:eastAsia="ja-JP"/>
        </w:rPr>
        <w:t>Alternatively, to the HARQ</w:t>
      </w:r>
      <w:r w:rsidR="00592B2D">
        <w:rPr>
          <w:rFonts w:eastAsia="MS Mincho"/>
          <w:lang w:val="en-US" w:eastAsia="ja-JP"/>
        </w:rPr>
        <w:t>-</w:t>
      </w:r>
      <w:r>
        <w:rPr>
          <w:rFonts w:eastAsia="MS Mincho"/>
          <w:lang w:val="en-US" w:eastAsia="ja-JP"/>
        </w:rPr>
        <w:t>ACK codebook determination separately for each DL component carrier, the codebook may be determined jointly over the component carriers with the help of counter DAI and total DAI operating in frequency-first–time-second manner as discussed in LTE Rel-13. However, that solution becomes overly complex when the used PDSCH TTIs have different durations on the different DL CCs: there can be multiple PDSCH TTIs one DL CC while there is only one PDSCH slot on another DL CC. In such case – and especially in the case of DL mini-slots without a fixed structure – determination of joint DAI operation over the carriers becomes complex. Additionally, the approach will increase the dependencies between component carriers so that gNB can determine right DAI values for each DL CC based on the scheduling decisions on all other component carriers. Hence, we propose that DL association set and HARQ</w:t>
      </w:r>
      <w:r w:rsidR="00E63380">
        <w:rPr>
          <w:rFonts w:eastAsia="MS Mincho"/>
          <w:lang w:val="en-US" w:eastAsia="ja-JP"/>
        </w:rPr>
        <w:t>-</w:t>
      </w:r>
      <w:r>
        <w:rPr>
          <w:rFonts w:eastAsia="MS Mincho"/>
          <w:lang w:val="en-US" w:eastAsia="ja-JP"/>
        </w:rPr>
        <w:t xml:space="preserve">ACK codebook size are determined separately for each DL CC. </w:t>
      </w:r>
    </w:p>
    <w:p w14:paraId="36DB6700" w14:textId="40F662E2" w:rsidR="002A3A0F" w:rsidRPr="000B0B00" w:rsidRDefault="002A3A0F" w:rsidP="000B0B00">
      <w:pPr>
        <w:ind w:left="993" w:hanging="993"/>
        <w:rPr>
          <w:b/>
          <w:i/>
        </w:rPr>
      </w:pPr>
      <w:r>
        <w:rPr>
          <w:b/>
          <w:i/>
        </w:rPr>
        <w:t>Proposal #4</w:t>
      </w:r>
      <w:r w:rsidRPr="00316161">
        <w:rPr>
          <w:b/>
          <w:i/>
        </w:rPr>
        <w:t xml:space="preserve">: </w:t>
      </w:r>
      <w:r w:rsidRPr="00943648">
        <w:rPr>
          <w:b/>
          <w:i/>
        </w:rPr>
        <w:t xml:space="preserve">DL association set </w:t>
      </w:r>
      <w:r>
        <w:rPr>
          <w:b/>
          <w:i/>
        </w:rPr>
        <w:t>and HARQ</w:t>
      </w:r>
      <w:r w:rsidR="00E63380">
        <w:rPr>
          <w:b/>
          <w:i/>
        </w:rPr>
        <w:t>-</w:t>
      </w:r>
      <w:r>
        <w:rPr>
          <w:b/>
          <w:i/>
        </w:rPr>
        <w:t>ACK codebook size are</w:t>
      </w:r>
      <w:r w:rsidRPr="00943648">
        <w:rPr>
          <w:b/>
          <w:i/>
        </w:rPr>
        <w:t xml:space="preserve"> determined </w:t>
      </w:r>
      <w:r>
        <w:rPr>
          <w:b/>
          <w:i/>
        </w:rPr>
        <w:t>separately for each DL component carrier</w:t>
      </w:r>
      <w:r w:rsidRPr="0055245B">
        <w:rPr>
          <w:b/>
          <w:i/>
        </w:rPr>
        <w:t>.</w:t>
      </w:r>
    </w:p>
    <w:p w14:paraId="1B3F5828" w14:textId="2AEE2AEE" w:rsidR="000C05FC" w:rsidRPr="000B0B00" w:rsidRDefault="005E2A9F" w:rsidP="0055245B">
      <w:pPr>
        <w:jc w:val="both"/>
        <w:rPr>
          <w:rFonts w:eastAsia="MS Mincho"/>
          <w:lang w:val="en-US" w:eastAsia="ja-JP"/>
        </w:rPr>
      </w:pPr>
      <w:r w:rsidRPr="005E2A9F">
        <w:rPr>
          <w:rFonts w:eastAsia="MS Mincho"/>
          <w:lang w:val="en-US" w:eastAsia="ja-JP"/>
        </w:rPr>
        <w:t xml:space="preserve">Currently it is unclear whether </w:t>
      </w:r>
      <w:r w:rsidRPr="005E2A9F">
        <w:rPr>
          <w:bCs/>
        </w:rPr>
        <w:t>dynamic resource allocation of different numerologies per UE on same NR carrier will be supported or not.</w:t>
      </w:r>
      <w:r>
        <w:rPr>
          <w:rFonts w:eastAsia="MS Mincho"/>
          <w:lang w:val="en-US" w:eastAsia="ja-JP"/>
        </w:rPr>
        <w:t xml:space="preserve"> </w:t>
      </w:r>
      <w:r w:rsidR="00E428E5">
        <w:rPr>
          <w:rFonts w:eastAsia="MS Mincho"/>
          <w:lang w:val="en-US" w:eastAsia="ja-JP"/>
        </w:rPr>
        <w:t xml:space="preserve">In the case that </w:t>
      </w:r>
      <w:r w:rsidR="00E428E5">
        <w:rPr>
          <w:bCs/>
        </w:rPr>
        <w:t>different numerologies can be dynamically allocated per UE on the</w:t>
      </w:r>
      <w:r w:rsidR="00E428E5" w:rsidRPr="005E2A9F">
        <w:rPr>
          <w:bCs/>
        </w:rPr>
        <w:t xml:space="preserve"> same NR</w:t>
      </w:r>
      <w:r w:rsidR="00E428E5">
        <w:rPr>
          <w:bCs/>
        </w:rPr>
        <w:t xml:space="preserve"> carrier, HARQ feedback design is further complicated as different numerologies are associated with e.g. different processing times. HARQ feedback for different numerologies may even occur in the same time unit. To avoid excessive complexity, HARQ feedback for different numerologies even on the same NR carrier can be determined separately. The HARQ feedbacks can be transmitted separately with the corresponding numerologies or can be combined into single transmission.</w:t>
      </w:r>
      <w:r w:rsidR="00FA1666">
        <w:rPr>
          <w:bCs/>
        </w:rPr>
        <w:t xml:space="preserve"> </w:t>
      </w:r>
      <w:r w:rsidR="002951EF">
        <w:rPr>
          <w:bCs/>
        </w:rPr>
        <w:t>Rather similar situation is faced also when both slots and mini-slots are scheduled</w:t>
      </w:r>
      <w:r w:rsidR="00C75219">
        <w:rPr>
          <w:bCs/>
        </w:rPr>
        <w:t xml:space="preserve"> on DL</w:t>
      </w:r>
      <w:r w:rsidR="002951EF">
        <w:rPr>
          <w:bCs/>
        </w:rPr>
        <w:t xml:space="preserve"> to the same UE. Similarly, </w:t>
      </w:r>
      <w:r w:rsidR="002951EF">
        <w:rPr>
          <w:rFonts w:eastAsia="MS Mincho"/>
          <w:lang w:val="en-US" w:eastAsia="ja-JP"/>
        </w:rPr>
        <w:t>slots and mini-slots on one CC can be treated separately for DL association set and HARQ</w:t>
      </w:r>
      <w:r w:rsidR="00E63380">
        <w:rPr>
          <w:rFonts w:eastAsia="MS Mincho"/>
          <w:lang w:val="en-US" w:eastAsia="ja-JP"/>
        </w:rPr>
        <w:t>-</w:t>
      </w:r>
      <w:r w:rsidR="002951EF">
        <w:rPr>
          <w:rFonts w:eastAsia="MS Mincho"/>
          <w:lang w:val="en-US" w:eastAsia="ja-JP"/>
        </w:rPr>
        <w:t>ACK codebook size determination</w:t>
      </w:r>
      <w:r w:rsidR="00C75219">
        <w:rPr>
          <w:rFonts w:eastAsia="MS Mincho"/>
          <w:lang w:val="en-US" w:eastAsia="ja-JP"/>
        </w:rPr>
        <w:t xml:space="preserve"> to </w:t>
      </w:r>
      <w:r w:rsidR="00C75219">
        <w:rPr>
          <w:bCs/>
        </w:rPr>
        <w:t>avoid excessive complexity and unnecessary HARQ</w:t>
      </w:r>
      <w:r w:rsidR="00E63380">
        <w:rPr>
          <w:bCs/>
        </w:rPr>
        <w:t>-</w:t>
      </w:r>
      <w:r w:rsidR="00C75219">
        <w:rPr>
          <w:bCs/>
        </w:rPr>
        <w:t>ACK overhead</w:t>
      </w:r>
      <w:r w:rsidR="002951EF">
        <w:rPr>
          <w:rFonts w:eastAsia="MS Mincho"/>
          <w:lang w:val="en-US" w:eastAsia="ja-JP"/>
        </w:rPr>
        <w:t>. The mini-slot HARQ</w:t>
      </w:r>
      <w:r w:rsidR="00E63380">
        <w:rPr>
          <w:rFonts w:eastAsia="MS Mincho"/>
          <w:lang w:val="en-US" w:eastAsia="ja-JP"/>
        </w:rPr>
        <w:t>-</w:t>
      </w:r>
      <w:r w:rsidR="002951EF">
        <w:rPr>
          <w:rFonts w:eastAsia="MS Mincho"/>
          <w:lang w:val="en-US" w:eastAsia="ja-JP"/>
        </w:rPr>
        <w:t xml:space="preserve">ACK codebook would be determined by the number of configured scheduling instances within DL association set. </w:t>
      </w:r>
      <w:r w:rsidR="00E428E5">
        <w:rPr>
          <w:bCs/>
        </w:rPr>
        <w:t xml:space="preserve"> </w:t>
      </w:r>
    </w:p>
    <w:p w14:paraId="48E1CB57" w14:textId="5D48350A" w:rsidR="0036595A" w:rsidRDefault="00106029" w:rsidP="000B0B00">
      <w:pPr>
        <w:ind w:left="1418" w:hanging="1418"/>
        <w:rPr>
          <w:bCs/>
          <w:i/>
        </w:rPr>
      </w:pPr>
      <w:r w:rsidRPr="00833822">
        <w:rPr>
          <w:b/>
          <w:i/>
        </w:rPr>
        <w:t>Observation #</w:t>
      </w:r>
      <w:r w:rsidR="00664F2B">
        <w:rPr>
          <w:b/>
          <w:i/>
        </w:rPr>
        <w:t>1</w:t>
      </w:r>
      <w:r w:rsidRPr="0055245B">
        <w:rPr>
          <w:b/>
          <w:i/>
        </w:rPr>
        <w:t xml:space="preserve">: </w:t>
      </w:r>
      <w:r w:rsidRPr="000B0B00">
        <w:rPr>
          <w:bCs/>
          <w:i/>
        </w:rPr>
        <w:t>If dynamic resource allocation of different numerologies per UE on same NR carrier is supported, HARQ feedback may be determined separately for each numerology.</w:t>
      </w:r>
    </w:p>
    <w:p w14:paraId="0E23D0C7" w14:textId="0DF1C435" w:rsidR="00C75219" w:rsidRPr="00596291" w:rsidRDefault="00C75219" w:rsidP="000B0B00">
      <w:pPr>
        <w:ind w:left="993" w:hanging="993"/>
        <w:rPr>
          <w:b/>
          <w:i/>
        </w:rPr>
      </w:pPr>
      <w:r>
        <w:rPr>
          <w:b/>
          <w:i/>
        </w:rPr>
        <w:t>Proposal #5</w:t>
      </w:r>
      <w:r w:rsidRPr="00316161">
        <w:rPr>
          <w:b/>
          <w:i/>
        </w:rPr>
        <w:t xml:space="preserve">: </w:t>
      </w:r>
      <w:r w:rsidRPr="00943648">
        <w:rPr>
          <w:b/>
          <w:i/>
        </w:rPr>
        <w:t xml:space="preserve">DL association set </w:t>
      </w:r>
      <w:r>
        <w:rPr>
          <w:b/>
          <w:i/>
        </w:rPr>
        <w:t>and HARQ</w:t>
      </w:r>
      <w:r w:rsidR="00E63380">
        <w:rPr>
          <w:b/>
          <w:i/>
        </w:rPr>
        <w:t>-</w:t>
      </w:r>
      <w:r>
        <w:rPr>
          <w:b/>
          <w:i/>
        </w:rPr>
        <w:t>ACK codebook size are</w:t>
      </w:r>
      <w:r w:rsidRPr="00943648">
        <w:rPr>
          <w:b/>
          <w:i/>
        </w:rPr>
        <w:t xml:space="preserve"> determined </w:t>
      </w:r>
      <w:r>
        <w:rPr>
          <w:b/>
          <w:i/>
        </w:rPr>
        <w:t xml:space="preserve">separately for DL slots and mini-slots. </w:t>
      </w:r>
    </w:p>
    <w:p w14:paraId="48E1CB58" w14:textId="05F8B369" w:rsidR="0034111C" w:rsidRPr="00A51522" w:rsidRDefault="00AB16D3" w:rsidP="00CF0B1C">
      <w:pPr>
        <w:pStyle w:val="Heading1"/>
        <w:ind w:left="0" w:firstLine="0"/>
        <w:rPr>
          <w:color w:val="000000"/>
        </w:rPr>
      </w:pPr>
      <w:r>
        <w:rPr>
          <w:color w:val="000000"/>
        </w:rPr>
        <w:t>3</w:t>
      </w:r>
      <w:r w:rsidR="00CF0B1C">
        <w:rPr>
          <w:color w:val="000000"/>
        </w:rPr>
        <w:t>.</w:t>
      </w:r>
      <w:r w:rsidR="0034111C" w:rsidRPr="00A51522">
        <w:rPr>
          <w:color w:val="000000"/>
        </w:rPr>
        <w:tab/>
      </w:r>
      <w:r w:rsidR="00EE7FA7" w:rsidRPr="00A51522">
        <w:rPr>
          <w:color w:val="000000"/>
        </w:rPr>
        <w:t>Conclusion</w:t>
      </w:r>
      <w:r w:rsidR="00DB39D4" w:rsidRPr="00A51522">
        <w:rPr>
          <w:color w:val="000000"/>
        </w:rPr>
        <w:t>s</w:t>
      </w:r>
    </w:p>
    <w:p w14:paraId="48E1CB59" w14:textId="0F00CD45" w:rsidR="00731B79" w:rsidRPr="00943648" w:rsidRDefault="003D3FBA" w:rsidP="006060C2">
      <w:pPr>
        <w:spacing w:after="120"/>
        <w:jc w:val="both"/>
      </w:pPr>
      <w:r w:rsidRPr="00A51522">
        <w:t>In this contribution</w:t>
      </w:r>
      <w:r w:rsidR="0055245B">
        <w:t>,</w:t>
      </w:r>
      <w:r w:rsidRPr="00A51522">
        <w:t xml:space="preserve"> we have </w:t>
      </w:r>
      <w:r w:rsidR="00943648">
        <w:t>considered</w:t>
      </w:r>
      <w:r w:rsidR="00943648" w:rsidRPr="00943648">
        <w:rPr>
          <w:bCs/>
          <w:lang w:val="en-US"/>
        </w:rPr>
        <w:t xml:space="preserve"> </w:t>
      </w:r>
      <w:r w:rsidR="00943648">
        <w:rPr>
          <w:bCs/>
          <w:lang w:val="en-US"/>
        </w:rPr>
        <w:t>the impacts from flexible HARQ</w:t>
      </w:r>
      <w:r w:rsidR="00E63380">
        <w:rPr>
          <w:bCs/>
          <w:lang w:val="en-US"/>
        </w:rPr>
        <w:t>-</w:t>
      </w:r>
      <w:r w:rsidR="00943648">
        <w:rPr>
          <w:bCs/>
          <w:lang w:val="en-US"/>
        </w:rPr>
        <w:t>ACK timing and from potential</w:t>
      </w:r>
      <w:r w:rsidR="00943648">
        <w:rPr>
          <w:bCs/>
        </w:rPr>
        <w:t xml:space="preserve"> dynamic resource allocation of different numerologies per UE to HARQ feedback determination.</w:t>
      </w:r>
      <w:r w:rsidR="00342AD2">
        <w:rPr>
          <w:bCs/>
        </w:rPr>
        <w:t xml:space="preserve"> 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342AD2">
        <w:rPr>
          <w:bCs/>
        </w:rPr>
        <w:t>:</w:t>
      </w:r>
    </w:p>
    <w:p w14:paraId="61F42DD2" w14:textId="2F6B1387" w:rsidR="00316161" w:rsidRPr="0055245B" w:rsidRDefault="00316161" w:rsidP="000B0B00">
      <w:pPr>
        <w:ind w:left="1134" w:hanging="1134"/>
        <w:rPr>
          <w:b/>
          <w:i/>
        </w:rPr>
      </w:pPr>
      <w:r w:rsidRPr="00316161">
        <w:rPr>
          <w:b/>
          <w:i/>
        </w:rPr>
        <w:lastRenderedPageBreak/>
        <w:t xml:space="preserve">Proposal #1: </w:t>
      </w:r>
      <w:r w:rsidRPr="00943648">
        <w:rPr>
          <w:b/>
          <w:i/>
        </w:rPr>
        <w:t xml:space="preserve">Determination of DL association set and codebook size for HARQ feedback is </w:t>
      </w:r>
      <w:r w:rsidRPr="00315F80">
        <w:rPr>
          <w:b/>
          <w:i/>
        </w:rPr>
        <w:t xml:space="preserve">flexible and based on the indicated </w:t>
      </w:r>
      <w:r w:rsidRPr="0055245B">
        <w:rPr>
          <w:b/>
          <w:i/>
        </w:rPr>
        <w:t>timing relationship between DL data reception and corresponding acknowledgement</w:t>
      </w:r>
      <w:r w:rsidRPr="00316161">
        <w:rPr>
          <w:b/>
          <w:i/>
        </w:rPr>
        <w:t>.</w:t>
      </w:r>
    </w:p>
    <w:p w14:paraId="347A02FA" w14:textId="0BDB731C" w:rsidR="00316161" w:rsidRPr="0055245B" w:rsidRDefault="00316161" w:rsidP="000B0B00">
      <w:pPr>
        <w:ind w:left="1134" w:hanging="1134"/>
        <w:rPr>
          <w:b/>
          <w:i/>
        </w:rPr>
      </w:pPr>
      <w:r w:rsidRPr="00316161">
        <w:rPr>
          <w:b/>
          <w:i/>
        </w:rPr>
        <w:t xml:space="preserve">Proposal #2: </w:t>
      </w:r>
      <w:r w:rsidRPr="00943648">
        <w:rPr>
          <w:b/>
          <w:i/>
        </w:rPr>
        <w:t xml:space="preserve">DL association set </w:t>
      </w:r>
      <w:r w:rsidR="009376C2">
        <w:rPr>
          <w:b/>
          <w:i/>
        </w:rPr>
        <w:t>is</w:t>
      </w:r>
      <w:r w:rsidRPr="00943648">
        <w:rPr>
          <w:b/>
          <w:i/>
        </w:rPr>
        <w:t xml:space="preserve"> dynamically determined in the case of dynamically indicated </w:t>
      </w:r>
      <w:r w:rsidRPr="0055245B">
        <w:rPr>
          <w:b/>
          <w:i/>
        </w:rPr>
        <w:t>timing relationship between DL data reception and corresponding acknowledgement.</w:t>
      </w:r>
      <w:r w:rsidR="009376C2">
        <w:rPr>
          <w:b/>
          <w:i/>
        </w:rPr>
        <w:t xml:space="preserve"> Dynamic determination of HARQ</w:t>
      </w:r>
      <w:r w:rsidR="008C7FA1">
        <w:rPr>
          <w:b/>
          <w:i/>
        </w:rPr>
        <w:t>-ACK</w:t>
      </w:r>
      <w:r w:rsidR="009376C2">
        <w:rPr>
          <w:b/>
          <w:i/>
        </w:rPr>
        <w:t xml:space="preserve"> codebook size is supported. </w:t>
      </w:r>
    </w:p>
    <w:p w14:paraId="47D11393" w14:textId="2CCF8365" w:rsidR="00316161" w:rsidRDefault="00664F2B" w:rsidP="000B0B00">
      <w:pPr>
        <w:ind w:left="1134" w:hanging="1134"/>
        <w:rPr>
          <w:b/>
          <w:i/>
        </w:rPr>
      </w:pPr>
      <w:r>
        <w:rPr>
          <w:b/>
          <w:i/>
        </w:rPr>
        <w:t>Proposal</w:t>
      </w:r>
      <w:r w:rsidR="00316161" w:rsidRPr="00316161">
        <w:rPr>
          <w:b/>
          <w:i/>
        </w:rPr>
        <w:t xml:space="preserve"> #</w:t>
      </w:r>
      <w:r>
        <w:rPr>
          <w:b/>
          <w:i/>
        </w:rPr>
        <w:t>3</w:t>
      </w:r>
      <w:r w:rsidR="00316161" w:rsidRPr="00943648">
        <w:rPr>
          <w:b/>
          <w:i/>
        </w:rPr>
        <w:t>: Appropriate mechanisms, such as counter DAI</w:t>
      </w:r>
      <w:r w:rsidR="00316161" w:rsidRPr="00315F80">
        <w:rPr>
          <w:b/>
          <w:i/>
        </w:rPr>
        <w:t xml:space="preserve">, to mitigate error cases </w:t>
      </w:r>
      <w:r w:rsidR="00316161" w:rsidRPr="0055245B">
        <w:rPr>
          <w:b/>
          <w:i/>
        </w:rPr>
        <w:t>related to the dynamic determination of DL association set and HARQ</w:t>
      </w:r>
      <w:r w:rsidR="008C7FA1">
        <w:rPr>
          <w:b/>
          <w:i/>
        </w:rPr>
        <w:t>-</w:t>
      </w:r>
      <w:r w:rsidR="00316161" w:rsidRPr="0055245B">
        <w:rPr>
          <w:b/>
          <w:i/>
        </w:rPr>
        <w:t xml:space="preserve">ACK codebook size </w:t>
      </w:r>
      <w:r>
        <w:rPr>
          <w:b/>
          <w:i/>
        </w:rPr>
        <w:t>are supported</w:t>
      </w:r>
      <w:r w:rsidR="00316161" w:rsidRPr="0055245B">
        <w:rPr>
          <w:b/>
          <w:i/>
        </w:rPr>
        <w:t>.</w:t>
      </w:r>
    </w:p>
    <w:p w14:paraId="21A48010" w14:textId="2FF07D6E" w:rsidR="002A3A0F" w:rsidRDefault="002A3A0F" w:rsidP="000B0B00">
      <w:pPr>
        <w:ind w:left="1134" w:hanging="1134"/>
        <w:rPr>
          <w:b/>
          <w:i/>
        </w:rPr>
      </w:pPr>
      <w:r>
        <w:rPr>
          <w:b/>
          <w:i/>
        </w:rPr>
        <w:t>Proposal #4</w:t>
      </w:r>
      <w:r w:rsidRPr="00316161">
        <w:rPr>
          <w:b/>
          <w:i/>
        </w:rPr>
        <w:t xml:space="preserve">: </w:t>
      </w:r>
      <w:r w:rsidRPr="00943648">
        <w:rPr>
          <w:b/>
          <w:i/>
        </w:rPr>
        <w:t xml:space="preserve">DL association set </w:t>
      </w:r>
      <w:r w:rsidR="00D27530">
        <w:rPr>
          <w:b/>
          <w:i/>
        </w:rPr>
        <w:t>and HARQ</w:t>
      </w:r>
      <w:r w:rsidR="00E63380">
        <w:rPr>
          <w:b/>
          <w:i/>
        </w:rPr>
        <w:t>-</w:t>
      </w:r>
      <w:r w:rsidR="00D27530">
        <w:rPr>
          <w:b/>
          <w:i/>
        </w:rPr>
        <w:t>ACK codebook size is</w:t>
      </w:r>
      <w:r w:rsidRPr="00943648">
        <w:rPr>
          <w:b/>
          <w:i/>
        </w:rPr>
        <w:t xml:space="preserve"> determined </w:t>
      </w:r>
      <w:r>
        <w:rPr>
          <w:b/>
          <w:i/>
        </w:rPr>
        <w:t>separately for each DL component carrier</w:t>
      </w:r>
      <w:r w:rsidRPr="0055245B">
        <w:rPr>
          <w:b/>
          <w:i/>
        </w:rPr>
        <w:t>.</w:t>
      </w:r>
    </w:p>
    <w:p w14:paraId="19930F8B" w14:textId="3808A03B" w:rsidR="00C75219" w:rsidRPr="0055245B" w:rsidRDefault="00C75219" w:rsidP="000B0B00">
      <w:pPr>
        <w:ind w:left="993" w:hanging="993"/>
        <w:rPr>
          <w:b/>
          <w:i/>
        </w:rPr>
      </w:pPr>
      <w:r>
        <w:rPr>
          <w:b/>
          <w:i/>
        </w:rPr>
        <w:t>Proposal #5</w:t>
      </w:r>
      <w:r w:rsidRPr="00316161">
        <w:rPr>
          <w:b/>
          <w:i/>
        </w:rPr>
        <w:t xml:space="preserve">: </w:t>
      </w:r>
      <w:r w:rsidRPr="00943648">
        <w:rPr>
          <w:b/>
          <w:i/>
        </w:rPr>
        <w:t xml:space="preserve">DL association set </w:t>
      </w:r>
      <w:r>
        <w:rPr>
          <w:b/>
          <w:i/>
        </w:rPr>
        <w:t>and HARQ</w:t>
      </w:r>
      <w:r w:rsidR="00E63380">
        <w:rPr>
          <w:b/>
          <w:i/>
        </w:rPr>
        <w:t>-</w:t>
      </w:r>
      <w:r>
        <w:rPr>
          <w:b/>
          <w:i/>
        </w:rPr>
        <w:t>ACK codebook size are</w:t>
      </w:r>
      <w:r w:rsidRPr="00943648">
        <w:rPr>
          <w:b/>
          <w:i/>
        </w:rPr>
        <w:t xml:space="preserve"> determined </w:t>
      </w:r>
      <w:r>
        <w:rPr>
          <w:b/>
          <w:i/>
        </w:rPr>
        <w:t xml:space="preserve">separately for DL slots and mini-slots. </w:t>
      </w:r>
    </w:p>
    <w:p w14:paraId="01E1ECAC" w14:textId="35A7510E" w:rsidR="00316161" w:rsidRPr="0055245B" w:rsidRDefault="00316161" w:rsidP="000B0B00">
      <w:pPr>
        <w:ind w:left="1276" w:hanging="1276"/>
        <w:rPr>
          <w:b/>
          <w:i/>
        </w:rPr>
      </w:pPr>
      <w:r w:rsidRPr="00316161">
        <w:rPr>
          <w:b/>
          <w:i/>
        </w:rPr>
        <w:t>Observation #</w:t>
      </w:r>
      <w:r w:rsidR="00664F2B">
        <w:rPr>
          <w:b/>
          <w:i/>
        </w:rPr>
        <w:t>1</w:t>
      </w:r>
      <w:r w:rsidRPr="00943648">
        <w:rPr>
          <w:b/>
          <w:i/>
        </w:rPr>
        <w:t xml:space="preserve">: </w:t>
      </w:r>
      <w:r w:rsidRPr="000B0B00">
        <w:rPr>
          <w:i/>
        </w:rPr>
        <w:t>If dynamic resource allocation of different numerologies per UE on same NR carrier is supported, HARQ feedback may be determined separately for each numerology.</w:t>
      </w:r>
    </w:p>
    <w:p w14:paraId="48E1CB64" w14:textId="77777777" w:rsidR="0034111C" w:rsidRPr="00A51522" w:rsidRDefault="0034111C">
      <w:pPr>
        <w:pStyle w:val="Heading1"/>
      </w:pPr>
      <w:r w:rsidRPr="00A51522">
        <w:t>References</w:t>
      </w:r>
      <w:r w:rsidR="00A2459D" w:rsidRPr="00A51522">
        <w:t xml:space="preserve"> </w:t>
      </w:r>
    </w:p>
    <w:p w14:paraId="48E1CB65" w14:textId="54D67FAB" w:rsidR="00055676" w:rsidRPr="00013455" w:rsidRDefault="006C0F68" w:rsidP="00C178FB">
      <w:pPr>
        <w:numPr>
          <w:ilvl w:val="0"/>
          <w:numId w:val="1"/>
        </w:numPr>
        <w:rPr>
          <w:sz w:val="18"/>
        </w:rPr>
      </w:pPr>
      <w:r w:rsidRPr="00BB3CD3">
        <w:rPr>
          <w:lang w:val="en-US"/>
        </w:rPr>
        <w:t>RP-170847, “</w:t>
      </w:r>
      <w:r w:rsidRPr="00BB3CD3">
        <w:rPr>
          <w:i/>
          <w:lang w:val="en-US"/>
        </w:rPr>
        <w:t>New WID on New Radio Access Technology</w:t>
      </w:r>
      <w:r w:rsidR="00D060FF" w:rsidRPr="00013455">
        <w:rPr>
          <w:sz w:val="18"/>
          <w:lang w:eastAsia="zh-CN"/>
        </w:rPr>
        <w:t>”</w:t>
      </w:r>
      <w:r w:rsidR="00055676" w:rsidRPr="00013455">
        <w:rPr>
          <w:sz w:val="18"/>
          <w:lang w:eastAsia="zh-CN"/>
        </w:rPr>
        <w:t xml:space="preserve">, </w:t>
      </w:r>
      <w:r w:rsidR="00D060FF" w:rsidRPr="00013455">
        <w:rPr>
          <w:sz w:val="18"/>
          <w:lang w:eastAsia="zh-CN"/>
        </w:rPr>
        <w:t>NTT DoCoMo</w:t>
      </w:r>
    </w:p>
    <w:p w14:paraId="48E1CB66"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48E1CB67" w14:textId="6DC4082C" w:rsidR="00342AD2" w:rsidRDefault="00342AD2" w:rsidP="00342AD2">
      <w:pPr>
        <w:numPr>
          <w:ilvl w:val="0"/>
          <w:numId w:val="1"/>
        </w:numPr>
        <w:rPr>
          <w:sz w:val="18"/>
        </w:rPr>
      </w:pPr>
      <w:r w:rsidRPr="004C3EC7">
        <w:rPr>
          <w:sz w:val="18"/>
        </w:rPr>
        <w:t>RAN1 Chairman’s Notes, 3GPP TSG RAN WG1 Meeting #86</w:t>
      </w:r>
      <w:r w:rsidR="003735C6">
        <w:rPr>
          <w:sz w:val="18"/>
        </w:rPr>
        <w:t>bis</w:t>
      </w:r>
      <w:r w:rsidRPr="004C3EC7">
        <w:rPr>
          <w:sz w:val="18"/>
        </w:rPr>
        <w:t>, 3G</w:t>
      </w:r>
      <w:r w:rsidR="00A10AD8">
        <w:rPr>
          <w:sz w:val="18"/>
        </w:rPr>
        <w:t>PP</w:t>
      </w:r>
      <w:r w:rsidRPr="004C3EC7">
        <w:rPr>
          <w:sz w:val="18"/>
        </w:rPr>
        <w:t>.</w:t>
      </w:r>
    </w:p>
    <w:p w14:paraId="5D5DF037" w14:textId="6AABEFC5" w:rsidR="00A10AD8" w:rsidRDefault="00A10AD8" w:rsidP="00A10AD8">
      <w:pPr>
        <w:numPr>
          <w:ilvl w:val="0"/>
          <w:numId w:val="1"/>
        </w:numPr>
        <w:rPr>
          <w:sz w:val="18"/>
        </w:rPr>
      </w:pPr>
      <w:r w:rsidRPr="004C3EC7">
        <w:rPr>
          <w:sz w:val="18"/>
        </w:rPr>
        <w:t>RAN1 Chairman’s Not</w:t>
      </w:r>
      <w:r>
        <w:rPr>
          <w:sz w:val="18"/>
        </w:rPr>
        <w:t>es, 3GPP TSG RAN WG1 Meeting #87</w:t>
      </w:r>
      <w:r w:rsidRPr="004C3EC7">
        <w:rPr>
          <w:sz w:val="18"/>
        </w:rPr>
        <w:t>, 3G</w:t>
      </w:r>
      <w:r>
        <w:rPr>
          <w:sz w:val="18"/>
        </w:rPr>
        <w:t>PP</w:t>
      </w:r>
      <w:r w:rsidRPr="004C3EC7">
        <w:rPr>
          <w:sz w:val="18"/>
        </w:rPr>
        <w:t>.</w:t>
      </w:r>
    </w:p>
    <w:p w14:paraId="0D8D8BEE" w14:textId="041D696E" w:rsidR="002B7E43" w:rsidRDefault="002B7E43" w:rsidP="008C07FF">
      <w:pPr>
        <w:numPr>
          <w:ilvl w:val="0"/>
          <w:numId w:val="1"/>
        </w:numPr>
        <w:rPr>
          <w:sz w:val="18"/>
        </w:rPr>
      </w:pPr>
      <w:r w:rsidRPr="004C3EC7">
        <w:rPr>
          <w:sz w:val="18"/>
        </w:rPr>
        <w:t>RAN1 Chairman’s Not</w:t>
      </w:r>
      <w:r>
        <w:rPr>
          <w:sz w:val="18"/>
        </w:rPr>
        <w:t>es, 3GPP TSG RAN WG1 Meeting NR Ad Hoc</w:t>
      </w:r>
      <w:r w:rsidRPr="004C3EC7">
        <w:rPr>
          <w:sz w:val="18"/>
        </w:rPr>
        <w:t>, 3G</w:t>
      </w:r>
      <w:r>
        <w:rPr>
          <w:sz w:val="18"/>
        </w:rPr>
        <w:t>PP</w:t>
      </w:r>
    </w:p>
    <w:p w14:paraId="7229A717" w14:textId="0FC6D4FC" w:rsidR="002F115E" w:rsidRPr="008C07FF" w:rsidRDefault="002F115E" w:rsidP="008C07FF">
      <w:pPr>
        <w:numPr>
          <w:ilvl w:val="0"/>
          <w:numId w:val="1"/>
        </w:numPr>
        <w:rPr>
          <w:sz w:val="18"/>
        </w:rPr>
      </w:pPr>
      <w:r>
        <w:rPr>
          <w:sz w:val="18"/>
        </w:rPr>
        <w:t>R</w:t>
      </w:r>
      <w:r w:rsidRPr="004C3EC7">
        <w:rPr>
          <w:sz w:val="18"/>
        </w:rPr>
        <w:t>AN1 Chairman’s Not</w:t>
      </w:r>
      <w:r>
        <w:rPr>
          <w:sz w:val="18"/>
        </w:rPr>
        <w:t>es, 3GPP TSG RAN WG1 Meeting #88bis</w:t>
      </w:r>
      <w:r w:rsidRPr="004C3EC7">
        <w:rPr>
          <w:sz w:val="18"/>
        </w:rPr>
        <w:t>, 3G</w:t>
      </w:r>
      <w:r>
        <w:rPr>
          <w:sz w:val="18"/>
        </w:rPr>
        <w:t>PP</w:t>
      </w:r>
    </w:p>
    <w:p w14:paraId="4A05F829" w14:textId="2A53FE12" w:rsidR="00A10AD8" w:rsidRDefault="00A10AD8" w:rsidP="00A10AD8">
      <w:pPr>
        <w:numPr>
          <w:ilvl w:val="0"/>
          <w:numId w:val="1"/>
        </w:numPr>
        <w:rPr>
          <w:sz w:val="18"/>
        </w:rPr>
      </w:pPr>
      <w:r w:rsidRPr="004C3EC7">
        <w:rPr>
          <w:sz w:val="18"/>
        </w:rPr>
        <w:t>RAN1 Chairman’s Not</w:t>
      </w:r>
      <w:r>
        <w:rPr>
          <w:sz w:val="18"/>
        </w:rPr>
        <w:t>es, 3GPP TSG RAN WG1 Meeting #85</w:t>
      </w:r>
      <w:r w:rsidRPr="004C3EC7">
        <w:rPr>
          <w:sz w:val="18"/>
        </w:rPr>
        <w:t>, 3G</w:t>
      </w:r>
      <w:r>
        <w:rPr>
          <w:sz w:val="18"/>
        </w:rPr>
        <w:t>PP</w:t>
      </w:r>
      <w:r w:rsidRPr="004C3EC7">
        <w:rPr>
          <w:sz w:val="18"/>
        </w:rPr>
        <w:t>.</w:t>
      </w:r>
    </w:p>
    <w:p w14:paraId="6385D833" w14:textId="77777777" w:rsidR="00AB16D3" w:rsidRPr="00E67719" w:rsidRDefault="00AB16D3" w:rsidP="000B0B00">
      <w:pPr>
        <w:spacing w:after="0"/>
        <w:rPr>
          <w:sz w:val="18"/>
        </w:rPr>
      </w:pPr>
    </w:p>
    <w:sectPr w:rsidR="00AB16D3" w:rsidRPr="00E6771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1605A" w14:textId="77777777" w:rsidR="005A4D67" w:rsidRDefault="005A4D67">
      <w:r>
        <w:separator/>
      </w:r>
    </w:p>
  </w:endnote>
  <w:endnote w:type="continuationSeparator" w:id="0">
    <w:p w14:paraId="123DEC45" w14:textId="77777777" w:rsidR="005A4D67" w:rsidRDefault="005A4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2966D" w14:textId="77777777" w:rsidR="005A4D67" w:rsidRDefault="005A4D67">
      <w:r>
        <w:separator/>
      </w:r>
    </w:p>
  </w:footnote>
  <w:footnote w:type="continuationSeparator" w:id="0">
    <w:p w14:paraId="512530F9" w14:textId="77777777" w:rsidR="005A4D67" w:rsidRDefault="005A4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hint="default"/>
      </w:rPr>
    </w:lvl>
    <w:lvl w:ilvl="1" w:tplc="3EB4E480">
      <w:numFmt w:val="bullet"/>
      <w:lvlText w:val="–"/>
      <w:lvlJc w:val="left"/>
      <w:pPr>
        <w:tabs>
          <w:tab w:val="num" w:pos="1440"/>
        </w:tabs>
        <w:ind w:left="1440" w:hanging="360"/>
      </w:pPr>
      <w:rPr>
        <w:rFonts w:ascii="Arial" w:hAnsi="Arial" w:hint="default"/>
      </w:rPr>
    </w:lvl>
    <w:lvl w:ilvl="2" w:tplc="9F24AA4E">
      <w:numFmt w:val="bullet"/>
      <w:lvlText w:val="•"/>
      <w:lvlJc w:val="left"/>
      <w:pPr>
        <w:tabs>
          <w:tab w:val="num" w:pos="2160"/>
        </w:tabs>
        <w:ind w:left="2160" w:hanging="360"/>
      </w:pPr>
      <w:rPr>
        <w:rFonts w:ascii="Arial" w:hAnsi="Arial" w:hint="default"/>
      </w:rPr>
    </w:lvl>
    <w:lvl w:ilvl="3" w:tplc="E8ACBCFC" w:tentative="1">
      <w:start w:val="1"/>
      <w:numFmt w:val="bullet"/>
      <w:lvlText w:val="•"/>
      <w:lvlJc w:val="left"/>
      <w:pPr>
        <w:tabs>
          <w:tab w:val="num" w:pos="2880"/>
        </w:tabs>
        <w:ind w:left="2880" w:hanging="360"/>
      </w:pPr>
      <w:rPr>
        <w:rFonts w:ascii="Arial" w:hAnsi="Arial" w:hint="default"/>
      </w:rPr>
    </w:lvl>
    <w:lvl w:ilvl="4" w:tplc="8A6007F2" w:tentative="1">
      <w:start w:val="1"/>
      <w:numFmt w:val="bullet"/>
      <w:lvlText w:val="•"/>
      <w:lvlJc w:val="left"/>
      <w:pPr>
        <w:tabs>
          <w:tab w:val="num" w:pos="3600"/>
        </w:tabs>
        <w:ind w:left="3600" w:hanging="360"/>
      </w:pPr>
      <w:rPr>
        <w:rFonts w:ascii="Arial" w:hAnsi="Arial" w:hint="default"/>
      </w:rPr>
    </w:lvl>
    <w:lvl w:ilvl="5" w:tplc="08E6B3EC" w:tentative="1">
      <w:start w:val="1"/>
      <w:numFmt w:val="bullet"/>
      <w:lvlText w:val="•"/>
      <w:lvlJc w:val="left"/>
      <w:pPr>
        <w:tabs>
          <w:tab w:val="num" w:pos="4320"/>
        </w:tabs>
        <w:ind w:left="4320" w:hanging="360"/>
      </w:pPr>
      <w:rPr>
        <w:rFonts w:ascii="Arial" w:hAnsi="Arial" w:hint="default"/>
      </w:rPr>
    </w:lvl>
    <w:lvl w:ilvl="6" w:tplc="16866B44" w:tentative="1">
      <w:start w:val="1"/>
      <w:numFmt w:val="bullet"/>
      <w:lvlText w:val="•"/>
      <w:lvlJc w:val="left"/>
      <w:pPr>
        <w:tabs>
          <w:tab w:val="num" w:pos="5040"/>
        </w:tabs>
        <w:ind w:left="5040" w:hanging="360"/>
      </w:pPr>
      <w:rPr>
        <w:rFonts w:ascii="Arial" w:hAnsi="Arial" w:hint="default"/>
      </w:rPr>
    </w:lvl>
    <w:lvl w:ilvl="7" w:tplc="9C6EAA74" w:tentative="1">
      <w:start w:val="1"/>
      <w:numFmt w:val="bullet"/>
      <w:lvlText w:val="•"/>
      <w:lvlJc w:val="left"/>
      <w:pPr>
        <w:tabs>
          <w:tab w:val="num" w:pos="5760"/>
        </w:tabs>
        <w:ind w:left="5760" w:hanging="360"/>
      </w:pPr>
      <w:rPr>
        <w:rFonts w:ascii="Arial" w:hAnsi="Arial" w:hint="default"/>
      </w:rPr>
    </w:lvl>
    <w:lvl w:ilvl="8" w:tplc="AB6C01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6B6166"/>
    <w:multiLevelType w:val="hybridMultilevel"/>
    <w:tmpl w:val="B42803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5"/>
  </w:num>
  <w:num w:numId="4">
    <w:abstractNumId w:val="6"/>
  </w:num>
  <w:num w:numId="5">
    <w:abstractNumId w:val="9"/>
  </w:num>
  <w:num w:numId="6">
    <w:abstractNumId w:val="11"/>
  </w:num>
  <w:num w:numId="7">
    <w:abstractNumId w:val="8"/>
  </w:num>
  <w:num w:numId="8">
    <w:abstractNumId w:val="17"/>
  </w:num>
  <w:num w:numId="9">
    <w:abstractNumId w:val="10"/>
  </w:num>
  <w:num w:numId="10">
    <w:abstractNumId w:val="0"/>
  </w:num>
  <w:num w:numId="11">
    <w:abstractNumId w:val="16"/>
  </w:num>
  <w:num w:numId="12">
    <w:abstractNumId w:val="2"/>
  </w:num>
  <w:num w:numId="13">
    <w:abstractNumId w:val="1"/>
  </w:num>
  <w:num w:numId="14">
    <w:abstractNumId w:val="3"/>
  </w:num>
  <w:num w:numId="15">
    <w:abstractNumId w:val="12"/>
  </w:num>
  <w:num w:numId="16">
    <w:abstractNumId w:val="14"/>
  </w:num>
  <w:num w:numId="17">
    <w:abstractNumId w:val="5"/>
  </w:num>
  <w:num w:numId="1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3742"/>
    <w:rsid w:val="00024AEF"/>
    <w:rsid w:val="00025DCE"/>
    <w:rsid w:val="00026C65"/>
    <w:rsid w:val="00027755"/>
    <w:rsid w:val="00030048"/>
    <w:rsid w:val="0003072D"/>
    <w:rsid w:val="000314CD"/>
    <w:rsid w:val="00033544"/>
    <w:rsid w:val="0003479E"/>
    <w:rsid w:val="00035691"/>
    <w:rsid w:val="0003707E"/>
    <w:rsid w:val="0003767C"/>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7C6"/>
    <w:rsid w:val="00091A92"/>
    <w:rsid w:val="00093C49"/>
    <w:rsid w:val="00095A80"/>
    <w:rsid w:val="000973E1"/>
    <w:rsid w:val="000A1402"/>
    <w:rsid w:val="000A20BA"/>
    <w:rsid w:val="000A262C"/>
    <w:rsid w:val="000A3C8D"/>
    <w:rsid w:val="000A40EC"/>
    <w:rsid w:val="000A54EE"/>
    <w:rsid w:val="000A6A23"/>
    <w:rsid w:val="000A7BC5"/>
    <w:rsid w:val="000B0B00"/>
    <w:rsid w:val="000B0C45"/>
    <w:rsid w:val="000B16DB"/>
    <w:rsid w:val="000B1C5E"/>
    <w:rsid w:val="000B2282"/>
    <w:rsid w:val="000B2A11"/>
    <w:rsid w:val="000B2A5B"/>
    <w:rsid w:val="000B3B91"/>
    <w:rsid w:val="000B5AC9"/>
    <w:rsid w:val="000B5F0A"/>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3286"/>
    <w:rsid w:val="000D344D"/>
    <w:rsid w:val="000D40E7"/>
    <w:rsid w:val="000D584F"/>
    <w:rsid w:val="000E0635"/>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30AC"/>
    <w:rsid w:val="0011339F"/>
    <w:rsid w:val="00113B8F"/>
    <w:rsid w:val="00113EC8"/>
    <w:rsid w:val="00114E96"/>
    <w:rsid w:val="0011644A"/>
    <w:rsid w:val="00117332"/>
    <w:rsid w:val="001200A9"/>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6904"/>
    <w:rsid w:val="00186B0A"/>
    <w:rsid w:val="00187E09"/>
    <w:rsid w:val="001905BD"/>
    <w:rsid w:val="00192FE6"/>
    <w:rsid w:val="00193986"/>
    <w:rsid w:val="00193B08"/>
    <w:rsid w:val="00194115"/>
    <w:rsid w:val="00194570"/>
    <w:rsid w:val="00196BF4"/>
    <w:rsid w:val="001972DA"/>
    <w:rsid w:val="001976AA"/>
    <w:rsid w:val="001A02F6"/>
    <w:rsid w:val="001A15C6"/>
    <w:rsid w:val="001A300B"/>
    <w:rsid w:val="001A5E19"/>
    <w:rsid w:val="001A602A"/>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5E5F"/>
    <w:rsid w:val="00206955"/>
    <w:rsid w:val="00210309"/>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4FE"/>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150"/>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51EF"/>
    <w:rsid w:val="002960D5"/>
    <w:rsid w:val="002A0E68"/>
    <w:rsid w:val="002A1062"/>
    <w:rsid w:val="002A2012"/>
    <w:rsid w:val="002A2413"/>
    <w:rsid w:val="002A2F5E"/>
    <w:rsid w:val="002A352A"/>
    <w:rsid w:val="002A3A0F"/>
    <w:rsid w:val="002A607D"/>
    <w:rsid w:val="002B132E"/>
    <w:rsid w:val="002B2813"/>
    <w:rsid w:val="002B2D29"/>
    <w:rsid w:val="002B7E43"/>
    <w:rsid w:val="002C0C4B"/>
    <w:rsid w:val="002C1EEA"/>
    <w:rsid w:val="002C47AD"/>
    <w:rsid w:val="002C6034"/>
    <w:rsid w:val="002C635B"/>
    <w:rsid w:val="002C7CFF"/>
    <w:rsid w:val="002D0BC6"/>
    <w:rsid w:val="002D17C5"/>
    <w:rsid w:val="002D365F"/>
    <w:rsid w:val="002D50EC"/>
    <w:rsid w:val="002D7C86"/>
    <w:rsid w:val="002E0692"/>
    <w:rsid w:val="002E086E"/>
    <w:rsid w:val="002E1D74"/>
    <w:rsid w:val="002E2943"/>
    <w:rsid w:val="002E2CF1"/>
    <w:rsid w:val="002E34AF"/>
    <w:rsid w:val="002E4AAC"/>
    <w:rsid w:val="002E53DE"/>
    <w:rsid w:val="002E563B"/>
    <w:rsid w:val="002E5B06"/>
    <w:rsid w:val="002E62D2"/>
    <w:rsid w:val="002E74AF"/>
    <w:rsid w:val="002E758C"/>
    <w:rsid w:val="002F1038"/>
    <w:rsid w:val="002F115E"/>
    <w:rsid w:val="002F22FF"/>
    <w:rsid w:val="002F2D8F"/>
    <w:rsid w:val="002F383F"/>
    <w:rsid w:val="002F695B"/>
    <w:rsid w:val="002F72DA"/>
    <w:rsid w:val="002F76B1"/>
    <w:rsid w:val="002F7D66"/>
    <w:rsid w:val="002F7DBE"/>
    <w:rsid w:val="0030090B"/>
    <w:rsid w:val="00302AE8"/>
    <w:rsid w:val="00302BB1"/>
    <w:rsid w:val="0030404B"/>
    <w:rsid w:val="00304210"/>
    <w:rsid w:val="003048D7"/>
    <w:rsid w:val="00304A1B"/>
    <w:rsid w:val="00304AD2"/>
    <w:rsid w:val="00304D03"/>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A6D"/>
    <w:rsid w:val="00382F1A"/>
    <w:rsid w:val="00383282"/>
    <w:rsid w:val="00383658"/>
    <w:rsid w:val="00383FB8"/>
    <w:rsid w:val="0038412E"/>
    <w:rsid w:val="00386053"/>
    <w:rsid w:val="0038771D"/>
    <w:rsid w:val="003879FD"/>
    <w:rsid w:val="003902EC"/>
    <w:rsid w:val="00392491"/>
    <w:rsid w:val="00393E44"/>
    <w:rsid w:val="0039747B"/>
    <w:rsid w:val="00397AB6"/>
    <w:rsid w:val="00397ACA"/>
    <w:rsid w:val="003A10C3"/>
    <w:rsid w:val="003A1AFA"/>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4BB6"/>
    <w:rsid w:val="003C5C41"/>
    <w:rsid w:val="003C7461"/>
    <w:rsid w:val="003D0788"/>
    <w:rsid w:val="003D091B"/>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366B"/>
    <w:rsid w:val="003F5547"/>
    <w:rsid w:val="003F5C40"/>
    <w:rsid w:val="003F6E12"/>
    <w:rsid w:val="003F75ED"/>
    <w:rsid w:val="004002B7"/>
    <w:rsid w:val="00400F31"/>
    <w:rsid w:val="00406B4D"/>
    <w:rsid w:val="00412857"/>
    <w:rsid w:val="0041443C"/>
    <w:rsid w:val="0041488F"/>
    <w:rsid w:val="004154F7"/>
    <w:rsid w:val="00416D44"/>
    <w:rsid w:val="004176FF"/>
    <w:rsid w:val="00421A27"/>
    <w:rsid w:val="00421D0A"/>
    <w:rsid w:val="0042266A"/>
    <w:rsid w:val="004241C5"/>
    <w:rsid w:val="00424FA7"/>
    <w:rsid w:val="00426A87"/>
    <w:rsid w:val="0042778E"/>
    <w:rsid w:val="004309D8"/>
    <w:rsid w:val="004313D1"/>
    <w:rsid w:val="00432110"/>
    <w:rsid w:val="00433EBE"/>
    <w:rsid w:val="00434406"/>
    <w:rsid w:val="00440FED"/>
    <w:rsid w:val="00441B92"/>
    <w:rsid w:val="0044474B"/>
    <w:rsid w:val="00445FF7"/>
    <w:rsid w:val="00446699"/>
    <w:rsid w:val="004508A8"/>
    <w:rsid w:val="00453341"/>
    <w:rsid w:val="004545C6"/>
    <w:rsid w:val="00454DCA"/>
    <w:rsid w:val="00456544"/>
    <w:rsid w:val="00456649"/>
    <w:rsid w:val="004567B7"/>
    <w:rsid w:val="00456856"/>
    <w:rsid w:val="00460C67"/>
    <w:rsid w:val="00461210"/>
    <w:rsid w:val="00462490"/>
    <w:rsid w:val="00465299"/>
    <w:rsid w:val="00466A0F"/>
    <w:rsid w:val="0046795B"/>
    <w:rsid w:val="004708C0"/>
    <w:rsid w:val="004715CB"/>
    <w:rsid w:val="00471863"/>
    <w:rsid w:val="00473A14"/>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A798B"/>
    <w:rsid w:val="004B23AD"/>
    <w:rsid w:val="004B2965"/>
    <w:rsid w:val="004B4224"/>
    <w:rsid w:val="004B4647"/>
    <w:rsid w:val="004B7455"/>
    <w:rsid w:val="004B74FF"/>
    <w:rsid w:val="004B7CE4"/>
    <w:rsid w:val="004C0401"/>
    <w:rsid w:val="004C0C49"/>
    <w:rsid w:val="004C183D"/>
    <w:rsid w:val="004C1EBA"/>
    <w:rsid w:val="004C3EC7"/>
    <w:rsid w:val="004C3EEE"/>
    <w:rsid w:val="004C483D"/>
    <w:rsid w:val="004C4C58"/>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1BBF"/>
    <w:rsid w:val="00504311"/>
    <w:rsid w:val="0050442D"/>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162F"/>
    <w:rsid w:val="00531777"/>
    <w:rsid w:val="0053281C"/>
    <w:rsid w:val="0053301B"/>
    <w:rsid w:val="0053357A"/>
    <w:rsid w:val="005340C9"/>
    <w:rsid w:val="00536930"/>
    <w:rsid w:val="00537491"/>
    <w:rsid w:val="005375FE"/>
    <w:rsid w:val="0054195A"/>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2B2D"/>
    <w:rsid w:val="0059331A"/>
    <w:rsid w:val="00596291"/>
    <w:rsid w:val="00596BBA"/>
    <w:rsid w:val="005975C4"/>
    <w:rsid w:val="00597ED8"/>
    <w:rsid w:val="005A34D5"/>
    <w:rsid w:val="005A4904"/>
    <w:rsid w:val="005A4D67"/>
    <w:rsid w:val="005A515A"/>
    <w:rsid w:val="005A704D"/>
    <w:rsid w:val="005B0B63"/>
    <w:rsid w:val="005B3C6B"/>
    <w:rsid w:val="005B3C6D"/>
    <w:rsid w:val="005B4045"/>
    <w:rsid w:val="005B609E"/>
    <w:rsid w:val="005B6DF6"/>
    <w:rsid w:val="005B7B7D"/>
    <w:rsid w:val="005C1948"/>
    <w:rsid w:val="005C22F9"/>
    <w:rsid w:val="005C263C"/>
    <w:rsid w:val="005C2679"/>
    <w:rsid w:val="005C3D44"/>
    <w:rsid w:val="005D059A"/>
    <w:rsid w:val="005D07C5"/>
    <w:rsid w:val="005D21B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243"/>
    <w:rsid w:val="00607D81"/>
    <w:rsid w:val="00610747"/>
    <w:rsid w:val="00610E03"/>
    <w:rsid w:val="0061176E"/>
    <w:rsid w:val="00614CD1"/>
    <w:rsid w:val="0061567B"/>
    <w:rsid w:val="0062152A"/>
    <w:rsid w:val="00623583"/>
    <w:rsid w:val="00623E2A"/>
    <w:rsid w:val="0062462F"/>
    <w:rsid w:val="00624BA1"/>
    <w:rsid w:val="00625A4E"/>
    <w:rsid w:val="0062661B"/>
    <w:rsid w:val="00630118"/>
    <w:rsid w:val="00630514"/>
    <w:rsid w:val="006310AE"/>
    <w:rsid w:val="00631762"/>
    <w:rsid w:val="00632196"/>
    <w:rsid w:val="00632BA2"/>
    <w:rsid w:val="006333A7"/>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4F2B"/>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3DD"/>
    <w:rsid w:val="006A41AE"/>
    <w:rsid w:val="006A4856"/>
    <w:rsid w:val="006A564B"/>
    <w:rsid w:val="006B1545"/>
    <w:rsid w:val="006B2DA7"/>
    <w:rsid w:val="006B2F4D"/>
    <w:rsid w:val="006B3682"/>
    <w:rsid w:val="006B48CB"/>
    <w:rsid w:val="006C0F68"/>
    <w:rsid w:val="006C1445"/>
    <w:rsid w:val="006C4FC1"/>
    <w:rsid w:val="006C51A5"/>
    <w:rsid w:val="006C529D"/>
    <w:rsid w:val="006C6A19"/>
    <w:rsid w:val="006D0C12"/>
    <w:rsid w:val="006D0E6B"/>
    <w:rsid w:val="006D2146"/>
    <w:rsid w:val="006D632E"/>
    <w:rsid w:val="006E094A"/>
    <w:rsid w:val="006E12B1"/>
    <w:rsid w:val="006E13D1"/>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81A"/>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30B60"/>
    <w:rsid w:val="0073124A"/>
    <w:rsid w:val="00731B79"/>
    <w:rsid w:val="00733893"/>
    <w:rsid w:val="00734A05"/>
    <w:rsid w:val="00735C6F"/>
    <w:rsid w:val="00742A6A"/>
    <w:rsid w:val="00742B44"/>
    <w:rsid w:val="007472D5"/>
    <w:rsid w:val="00753BB5"/>
    <w:rsid w:val="00756832"/>
    <w:rsid w:val="0076017B"/>
    <w:rsid w:val="00760BE0"/>
    <w:rsid w:val="00761FF1"/>
    <w:rsid w:val="007626D0"/>
    <w:rsid w:val="007651CA"/>
    <w:rsid w:val="00767519"/>
    <w:rsid w:val="007704E1"/>
    <w:rsid w:val="00770E5C"/>
    <w:rsid w:val="00772569"/>
    <w:rsid w:val="00772E8C"/>
    <w:rsid w:val="007736D3"/>
    <w:rsid w:val="0077500F"/>
    <w:rsid w:val="0077536D"/>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2ED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79C5"/>
    <w:rsid w:val="007F1A58"/>
    <w:rsid w:val="007F2845"/>
    <w:rsid w:val="007F43BC"/>
    <w:rsid w:val="007F4740"/>
    <w:rsid w:val="007F70D0"/>
    <w:rsid w:val="008006C6"/>
    <w:rsid w:val="00800C52"/>
    <w:rsid w:val="0080153E"/>
    <w:rsid w:val="0080329D"/>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3C94"/>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3FFC"/>
    <w:rsid w:val="00894FDC"/>
    <w:rsid w:val="0089716F"/>
    <w:rsid w:val="008A16F9"/>
    <w:rsid w:val="008A1D3E"/>
    <w:rsid w:val="008A4B16"/>
    <w:rsid w:val="008A4D63"/>
    <w:rsid w:val="008A5939"/>
    <w:rsid w:val="008A6D62"/>
    <w:rsid w:val="008B13E9"/>
    <w:rsid w:val="008B3B51"/>
    <w:rsid w:val="008B4057"/>
    <w:rsid w:val="008B4145"/>
    <w:rsid w:val="008B5290"/>
    <w:rsid w:val="008C07FF"/>
    <w:rsid w:val="008C2CFD"/>
    <w:rsid w:val="008C5D47"/>
    <w:rsid w:val="008C603A"/>
    <w:rsid w:val="008C71C8"/>
    <w:rsid w:val="008C7FA1"/>
    <w:rsid w:val="008D1290"/>
    <w:rsid w:val="008D167D"/>
    <w:rsid w:val="008D492A"/>
    <w:rsid w:val="008D4B58"/>
    <w:rsid w:val="008D4B8A"/>
    <w:rsid w:val="008D6541"/>
    <w:rsid w:val="008D7D7B"/>
    <w:rsid w:val="008E0B87"/>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3123D"/>
    <w:rsid w:val="0093257B"/>
    <w:rsid w:val="00933040"/>
    <w:rsid w:val="009330E9"/>
    <w:rsid w:val="00935D15"/>
    <w:rsid w:val="009376C2"/>
    <w:rsid w:val="009411FB"/>
    <w:rsid w:val="009414A9"/>
    <w:rsid w:val="00941B71"/>
    <w:rsid w:val="00941DF9"/>
    <w:rsid w:val="009421AD"/>
    <w:rsid w:val="0094221C"/>
    <w:rsid w:val="00943648"/>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6F6C"/>
    <w:rsid w:val="009D79F4"/>
    <w:rsid w:val="009E3CD1"/>
    <w:rsid w:val="009E4DFB"/>
    <w:rsid w:val="009E5AF5"/>
    <w:rsid w:val="009E5EB5"/>
    <w:rsid w:val="009E74F0"/>
    <w:rsid w:val="009F0768"/>
    <w:rsid w:val="009F7867"/>
    <w:rsid w:val="009F7D66"/>
    <w:rsid w:val="00A0071F"/>
    <w:rsid w:val="00A00BD2"/>
    <w:rsid w:val="00A00E56"/>
    <w:rsid w:val="00A027F3"/>
    <w:rsid w:val="00A03978"/>
    <w:rsid w:val="00A04D7E"/>
    <w:rsid w:val="00A051D9"/>
    <w:rsid w:val="00A0541F"/>
    <w:rsid w:val="00A05DF3"/>
    <w:rsid w:val="00A07E08"/>
    <w:rsid w:val="00A10AD8"/>
    <w:rsid w:val="00A12798"/>
    <w:rsid w:val="00A153BE"/>
    <w:rsid w:val="00A15DEE"/>
    <w:rsid w:val="00A167B5"/>
    <w:rsid w:val="00A16DBE"/>
    <w:rsid w:val="00A17C4F"/>
    <w:rsid w:val="00A20653"/>
    <w:rsid w:val="00A20A39"/>
    <w:rsid w:val="00A238BD"/>
    <w:rsid w:val="00A243E4"/>
    <w:rsid w:val="00A2459D"/>
    <w:rsid w:val="00A24E23"/>
    <w:rsid w:val="00A25F05"/>
    <w:rsid w:val="00A26C8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40C1"/>
    <w:rsid w:val="00A64547"/>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2AD8"/>
    <w:rsid w:val="00AB33C3"/>
    <w:rsid w:val="00AB3A15"/>
    <w:rsid w:val="00AB4ECC"/>
    <w:rsid w:val="00AB53B7"/>
    <w:rsid w:val="00AB6601"/>
    <w:rsid w:val="00AB674E"/>
    <w:rsid w:val="00AB6D79"/>
    <w:rsid w:val="00AB7806"/>
    <w:rsid w:val="00AC02C1"/>
    <w:rsid w:val="00AC0AB6"/>
    <w:rsid w:val="00AC10AD"/>
    <w:rsid w:val="00AC1E55"/>
    <w:rsid w:val="00AC3D06"/>
    <w:rsid w:val="00AC429F"/>
    <w:rsid w:val="00AC4B65"/>
    <w:rsid w:val="00AC535E"/>
    <w:rsid w:val="00AC60B4"/>
    <w:rsid w:val="00AD00C5"/>
    <w:rsid w:val="00AD165F"/>
    <w:rsid w:val="00AD2794"/>
    <w:rsid w:val="00AD2DC5"/>
    <w:rsid w:val="00AD3455"/>
    <w:rsid w:val="00AD3CAD"/>
    <w:rsid w:val="00AD57CD"/>
    <w:rsid w:val="00AD69FF"/>
    <w:rsid w:val="00AD702B"/>
    <w:rsid w:val="00AD711C"/>
    <w:rsid w:val="00AD72E6"/>
    <w:rsid w:val="00AD7C95"/>
    <w:rsid w:val="00AE3DE1"/>
    <w:rsid w:val="00AE78D1"/>
    <w:rsid w:val="00AF2D54"/>
    <w:rsid w:val="00AF3458"/>
    <w:rsid w:val="00AF3F7B"/>
    <w:rsid w:val="00AF42B4"/>
    <w:rsid w:val="00AF4B8A"/>
    <w:rsid w:val="00AF4F1B"/>
    <w:rsid w:val="00AF5088"/>
    <w:rsid w:val="00AF5EC6"/>
    <w:rsid w:val="00AF6E8A"/>
    <w:rsid w:val="00AF7213"/>
    <w:rsid w:val="00AF7D92"/>
    <w:rsid w:val="00B011CC"/>
    <w:rsid w:val="00B04048"/>
    <w:rsid w:val="00B04478"/>
    <w:rsid w:val="00B04F3D"/>
    <w:rsid w:val="00B05702"/>
    <w:rsid w:val="00B06DD9"/>
    <w:rsid w:val="00B07220"/>
    <w:rsid w:val="00B07CD6"/>
    <w:rsid w:val="00B07E52"/>
    <w:rsid w:val="00B10010"/>
    <w:rsid w:val="00B11775"/>
    <w:rsid w:val="00B1302D"/>
    <w:rsid w:val="00B1513F"/>
    <w:rsid w:val="00B15B89"/>
    <w:rsid w:val="00B171B4"/>
    <w:rsid w:val="00B1746F"/>
    <w:rsid w:val="00B20725"/>
    <w:rsid w:val="00B2084F"/>
    <w:rsid w:val="00B2087E"/>
    <w:rsid w:val="00B20B94"/>
    <w:rsid w:val="00B2628E"/>
    <w:rsid w:val="00B266B0"/>
    <w:rsid w:val="00B27921"/>
    <w:rsid w:val="00B3000E"/>
    <w:rsid w:val="00B326A8"/>
    <w:rsid w:val="00B329EB"/>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E2B"/>
    <w:rsid w:val="00BB5D1C"/>
    <w:rsid w:val="00BB61E6"/>
    <w:rsid w:val="00BB6552"/>
    <w:rsid w:val="00BB6B9B"/>
    <w:rsid w:val="00BB754F"/>
    <w:rsid w:val="00BC07D4"/>
    <w:rsid w:val="00BC0A5D"/>
    <w:rsid w:val="00BC0BE3"/>
    <w:rsid w:val="00BC1AD9"/>
    <w:rsid w:val="00BC32E7"/>
    <w:rsid w:val="00BC58B9"/>
    <w:rsid w:val="00BC6C49"/>
    <w:rsid w:val="00BD27A3"/>
    <w:rsid w:val="00BD3E68"/>
    <w:rsid w:val="00BD4EE6"/>
    <w:rsid w:val="00BD598A"/>
    <w:rsid w:val="00BD741B"/>
    <w:rsid w:val="00BD75B4"/>
    <w:rsid w:val="00BD7D14"/>
    <w:rsid w:val="00BE02B4"/>
    <w:rsid w:val="00BE4EC9"/>
    <w:rsid w:val="00BE631E"/>
    <w:rsid w:val="00BE7FB4"/>
    <w:rsid w:val="00BF0CCF"/>
    <w:rsid w:val="00BF0FC5"/>
    <w:rsid w:val="00BF10BC"/>
    <w:rsid w:val="00BF21AC"/>
    <w:rsid w:val="00BF2E53"/>
    <w:rsid w:val="00BF3669"/>
    <w:rsid w:val="00BF3C0D"/>
    <w:rsid w:val="00BF4007"/>
    <w:rsid w:val="00BF711C"/>
    <w:rsid w:val="00BF748E"/>
    <w:rsid w:val="00BF789B"/>
    <w:rsid w:val="00C03309"/>
    <w:rsid w:val="00C0360A"/>
    <w:rsid w:val="00C072FE"/>
    <w:rsid w:val="00C12E39"/>
    <w:rsid w:val="00C14164"/>
    <w:rsid w:val="00C15D8E"/>
    <w:rsid w:val="00C17012"/>
    <w:rsid w:val="00C178FB"/>
    <w:rsid w:val="00C22B28"/>
    <w:rsid w:val="00C257B7"/>
    <w:rsid w:val="00C27115"/>
    <w:rsid w:val="00C272E8"/>
    <w:rsid w:val="00C33359"/>
    <w:rsid w:val="00C348D6"/>
    <w:rsid w:val="00C365E7"/>
    <w:rsid w:val="00C36E34"/>
    <w:rsid w:val="00C404EE"/>
    <w:rsid w:val="00C4171B"/>
    <w:rsid w:val="00C42689"/>
    <w:rsid w:val="00C42988"/>
    <w:rsid w:val="00C42BD4"/>
    <w:rsid w:val="00C42FB2"/>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219"/>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5F0"/>
    <w:rsid w:val="00CD078F"/>
    <w:rsid w:val="00CD121E"/>
    <w:rsid w:val="00CD28F0"/>
    <w:rsid w:val="00CD3ED8"/>
    <w:rsid w:val="00CD761D"/>
    <w:rsid w:val="00CD76B5"/>
    <w:rsid w:val="00CE2346"/>
    <w:rsid w:val="00CE6F0F"/>
    <w:rsid w:val="00CE7173"/>
    <w:rsid w:val="00CF002F"/>
    <w:rsid w:val="00CF0246"/>
    <w:rsid w:val="00CF0B1C"/>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074AB"/>
    <w:rsid w:val="00D12325"/>
    <w:rsid w:val="00D14487"/>
    <w:rsid w:val="00D15E7E"/>
    <w:rsid w:val="00D20016"/>
    <w:rsid w:val="00D207A7"/>
    <w:rsid w:val="00D2279F"/>
    <w:rsid w:val="00D22AF1"/>
    <w:rsid w:val="00D22E93"/>
    <w:rsid w:val="00D242DA"/>
    <w:rsid w:val="00D247EC"/>
    <w:rsid w:val="00D26448"/>
    <w:rsid w:val="00D264CE"/>
    <w:rsid w:val="00D26670"/>
    <w:rsid w:val="00D2753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6159"/>
    <w:rsid w:val="00D874DF"/>
    <w:rsid w:val="00D87A12"/>
    <w:rsid w:val="00D930E1"/>
    <w:rsid w:val="00D9415C"/>
    <w:rsid w:val="00D942CC"/>
    <w:rsid w:val="00D94D87"/>
    <w:rsid w:val="00D9620A"/>
    <w:rsid w:val="00D962DC"/>
    <w:rsid w:val="00DA180C"/>
    <w:rsid w:val="00DA30D2"/>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1611"/>
    <w:rsid w:val="00DC3A9D"/>
    <w:rsid w:val="00DC659C"/>
    <w:rsid w:val="00DC6C1E"/>
    <w:rsid w:val="00DC7951"/>
    <w:rsid w:val="00DD1C4B"/>
    <w:rsid w:val="00DD1F7B"/>
    <w:rsid w:val="00DD229E"/>
    <w:rsid w:val="00DD3029"/>
    <w:rsid w:val="00DD55E0"/>
    <w:rsid w:val="00DD7C14"/>
    <w:rsid w:val="00DE1904"/>
    <w:rsid w:val="00DE3DBB"/>
    <w:rsid w:val="00DE43A2"/>
    <w:rsid w:val="00DE4A74"/>
    <w:rsid w:val="00DE4B05"/>
    <w:rsid w:val="00DE541C"/>
    <w:rsid w:val="00DE59F1"/>
    <w:rsid w:val="00DE737B"/>
    <w:rsid w:val="00DE737F"/>
    <w:rsid w:val="00DF100B"/>
    <w:rsid w:val="00DF4359"/>
    <w:rsid w:val="00DF73C1"/>
    <w:rsid w:val="00DF7751"/>
    <w:rsid w:val="00E031BB"/>
    <w:rsid w:val="00E0576C"/>
    <w:rsid w:val="00E068BC"/>
    <w:rsid w:val="00E073F0"/>
    <w:rsid w:val="00E07538"/>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2239"/>
    <w:rsid w:val="00E428E5"/>
    <w:rsid w:val="00E4608B"/>
    <w:rsid w:val="00E46D7F"/>
    <w:rsid w:val="00E501D3"/>
    <w:rsid w:val="00E53A01"/>
    <w:rsid w:val="00E561F7"/>
    <w:rsid w:val="00E564C4"/>
    <w:rsid w:val="00E567C9"/>
    <w:rsid w:val="00E604C4"/>
    <w:rsid w:val="00E60809"/>
    <w:rsid w:val="00E61300"/>
    <w:rsid w:val="00E61927"/>
    <w:rsid w:val="00E63380"/>
    <w:rsid w:val="00E635B9"/>
    <w:rsid w:val="00E63C10"/>
    <w:rsid w:val="00E653BD"/>
    <w:rsid w:val="00E65D15"/>
    <w:rsid w:val="00E66383"/>
    <w:rsid w:val="00E67719"/>
    <w:rsid w:val="00E67EE5"/>
    <w:rsid w:val="00E7013A"/>
    <w:rsid w:val="00E74F5D"/>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7"/>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4A1C"/>
    <w:rsid w:val="00F16739"/>
    <w:rsid w:val="00F16DE2"/>
    <w:rsid w:val="00F2052B"/>
    <w:rsid w:val="00F2260F"/>
    <w:rsid w:val="00F242AD"/>
    <w:rsid w:val="00F247F2"/>
    <w:rsid w:val="00F252A8"/>
    <w:rsid w:val="00F265F7"/>
    <w:rsid w:val="00F27FA6"/>
    <w:rsid w:val="00F33DC8"/>
    <w:rsid w:val="00F34444"/>
    <w:rsid w:val="00F3517C"/>
    <w:rsid w:val="00F4065A"/>
    <w:rsid w:val="00F4275C"/>
    <w:rsid w:val="00F45693"/>
    <w:rsid w:val="00F52339"/>
    <w:rsid w:val="00F5277A"/>
    <w:rsid w:val="00F532E8"/>
    <w:rsid w:val="00F537FF"/>
    <w:rsid w:val="00F54E36"/>
    <w:rsid w:val="00F560FE"/>
    <w:rsid w:val="00F56C62"/>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323"/>
    <w:rsid w:val="00F944D9"/>
    <w:rsid w:val="00F94DB3"/>
    <w:rsid w:val="00F94E5B"/>
    <w:rsid w:val="00F96500"/>
    <w:rsid w:val="00F96B68"/>
    <w:rsid w:val="00FA0F35"/>
    <w:rsid w:val="00FA1666"/>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6C0F6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4547945">
      <w:bodyDiv w:val="1"/>
      <w:marLeft w:val="0"/>
      <w:marRight w:val="0"/>
      <w:marTop w:val="0"/>
      <w:marBottom w:val="0"/>
      <w:divBdr>
        <w:top w:val="none" w:sz="0" w:space="0" w:color="auto"/>
        <w:left w:val="none" w:sz="0" w:space="0" w:color="auto"/>
        <w:bottom w:val="none" w:sz="0" w:space="0" w:color="auto"/>
        <w:right w:val="none" w:sz="0" w:space="0" w:color="auto"/>
      </w:divBdr>
      <w:divsChild>
        <w:div w:id="419913398">
          <w:marLeft w:val="547"/>
          <w:marRight w:val="0"/>
          <w:marTop w:val="0"/>
          <w:marBottom w:val="0"/>
          <w:divBdr>
            <w:top w:val="none" w:sz="0" w:space="0" w:color="auto"/>
            <w:left w:val="none" w:sz="0" w:space="0" w:color="auto"/>
            <w:bottom w:val="none" w:sz="0" w:space="0" w:color="auto"/>
            <w:right w:val="none" w:sz="0" w:space="0" w:color="auto"/>
          </w:divBdr>
        </w:div>
        <w:div w:id="829563559">
          <w:marLeft w:val="1166"/>
          <w:marRight w:val="0"/>
          <w:marTop w:val="0"/>
          <w:marBottom w:val="0"/>
          <w:divBdr>
            <w:top w:val="none" w:sz="0" w:space="0" w:color="auto"/>
            <w:left w:val="none" w:sz="0" w:space="0" w:color="auto"/>
            <w:bottom w:val="none" w:sz="0" w:space="0" w:color="auto"/>
            <w:right w:val="none" w:sz="0" w:space="0" w:color="auto"/>
          </w:divBdr>
        </w:div>
        <w:div w:id="1937981696">
          <w:marLeft w:val="1800"/>
          <w:marRight w:val="0"/>
          <w:marTop w:val="0"/>
          <w:marBottom w:val="0"/>
          <w:divBdr>
            <w:top w:val="none" w:sz="0" w:space="0" w:color="auto"/>
            <w:left w:val="none" w:sz="0" w:space="0" w:color="auto"/>
            <w:bottom w:val="none" w:sz="0" w:space="0" w:color="auto"/>
            <w:right w:val="none" w:sz="0" w:space="0" w:color="auto"/>
          </w:divBdr>
        </w:div>
        <w:div w:id="249703487">
          <w:marLeft w:val="1800"/>
          <w:marRight w:val="0"/>
          <w:marTop w:val="0"/>
          <w:marBottom w:val="0"/>
          <w:divBdr>
            <w:top w:val="none" w:sz="0" w:space="0" w:color="auto"/>
            <w:left w:val="none" w:sz="0" w:space="0" w:color="auto"/>
            <w:bottom w:val="none" w:sz="0" w:space="0" w:color="auto"/>
            <w:right w:val="none" w:sz="0" w:space="0" w:color="auto"/>
          </w:divBdr>
        </w:div>
        <w:div w:id="847862981">
          <w:marLeft w:val="1800"/>
          <w:marRight w:val="0"/>
          <w:marTop w:val="0"/>
          <w:marBottom w:val="0"/>
          <w:divBdr>
            <w:top w:val="none" w:sz="0" w:space="0" w:color="auto"/>
            <w:left w:val="none" w:sz="0" w:space="0" w:color="auto"/>
            <w:bottom w:val="none" w:sz="0" w:space="0" w:color="auto"/>
            <w:right w:val="none" w:sz="0" w:space="0" w:color="auto"/>
          </w:divBdr>
        </w:div>
        <w:div w:id="1684045544">
          <w:marLeft w:val="180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4998377">
      <w:bodyDiv w:val="1"/>
      <w:marLeft w:val="0"/>
      <w:marRight w:val="0"/>
      <w:marTop w:val="0"/>
      <w:marBottom w:val="0"/>
      <w:divBdr>
        <w:top w:val="none" w:sz="0" w:space="0" w:color="auto"/>
        <w:left w:val="none" w:sz="0" w:space="0" w:color="auto"/>
        <w:bottom w:val="none" w:sz="0" w:space="0" w:color="auto"/>
        <w:right w:val="none" w:sz="0" w:space="0" w:color="auto"/>
      </w:divBdr>
      <w:divsChild>
        <w:div w:id="1411735922">
          <w:marLeft w:val="547"/>
          <w:marRight w:val="0"/>
          <w:marTop w:val="0"/>
          <w:marBottom w:val="0"/>
          <w:divBdr>
            <w:top w:val="none" w:sz="0" w:space="0" w:color="auto"/>
            <w:left w:val="none" w:sz="0" w:space="0" w:color="auto"/>
            <w:bottom w:val="none" w:sz="0" w:space="0" w:color="auto"/>
            <w:right w:val="none" w:sz="0" w:space="0" w:color="auto"/>
          </w:divBdr>
        </w:div>
        <w:div w:id="862091526">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SP-5AIRPNAIUNRU-1830940522-1280</_dlc_DocId>
    <_dlc_DocIdUrl xmlns="71c5aaf6-e6ce-465b-b873-5148d2a4c105">
      <Url>https://nokia.sharepoint.com/sites/c5g/5gradio/_layouts/15/DocIdRedir.aspx?ID=SP-5AIRPNAIUNRU-1830940522-1280</Url>
      <Description>SP-5AIRPNAIUNRU-1830940522-1280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01F18FE-E5FD-4CA5-8782-1BB257638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441D7E-4F9F-4224-AF66-E1F8DC004DA8}">
  <ds:schemaRefs>
    <ds:schemaRef ds:uri="http://schemas.microsoft.com/sharepoint/events"/>
  </ds:schemaRefs>
</ds:datastoreItem>
</file>

<file path=customXml/itemProps5.xml><?xml version="1.0" encoding="utf-8"?>
<ds:datastoreItem xmlns:ds="http://schemas.openxmlformats.org/officeDocument/2006/customXml" ds:itemID="{B1161B12-532E-468C-9B01-DD4C2A13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2306</Words>
  <Characters>13147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5</cp:revision>
  <cp:lastPrinted>2016-06-20T11:35:00Z</cp:lastPrinted>
  <dcterms:created xsi:type="dcterms:W3CDTF">2017-06-16T20:42:00Z</dcterms:created>
  <dcterms:modified xsi:type="dcterms:W3CDTF">2017-06-17T02:15:00Z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c7aae602-ebc1-4b95-b860-588cc8797100</vt:lpwstr>
  </property>
</Properties>
</file>